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53B58" w14:textId="02DEF8B1" w:rsidR="00904E56" w:rsidRPr="00CF4123" w:rsidRDefault="00CF4123" w:rsidP="000173D1">
      <w:pPr>
        <w:tabs>
          <w:tab w:val="center" w:pos="4536"/>
          <w:tab w:val="right" w:pos="9072"/>
        </w:tabs>
        <w:spacing w:after="0" w:line="264" w:lineRule="auto"/>
        <w:jc w:val="right"/>
        <w:rPr>
          <w:rFonts w:ascii="Verdana" w:hAnsi="Verdana" w:cs="Arial"/>
          <w:sz w:val="18"/>
          <w:szCs w:val="18"/>
          <w:lang w:val="en-GB"/>
        </w:rPr>
      </w:pPr>
      <w:bookmarkStart w:id="0" w:name="_Hlk66112395"/>
      <w:r w:rsidRPr="00CF4123">
        <w:rPr>
          <w:rFonts w:ascii="Verdana" w:hAnsi="Verdana" w:cs="Arial"/>
          <w:sz w:val="18"/>
          <w:szCs w:val="18"/>
          <w:lang w:val="en-GB"/>
        </w:rPr>
        <w:t>Warsaw</w:t>
      </w:r>
      <w:r w:rsidR="00904E56" w:rsidRPr="00CF4123">
        <w:rPr>
          <w:rFonts w:ascii="Verdana" w:hAnsi="Verdana" w:cs="Arial"/>
          <w:sz w:val="18"/>
          <w:szCs w:val="18"/>
          <w:lang w:val="en-GB"/>
        </w:rPr>
        <w:t>,</w:t>
      </w:r>
      <w:r w:rsidR="00CA666B" w:rsidRPr="00CF4123">
        <w:rPr>
          <w:rFonts w:ascii="Verdana" w:hAnsi="Verdana" w:cs="Arial"/>
          <w:sz w:val="18"/>
          <w:szCs w:val="18"/>
          <w:lang w:val="en-GB"/>
        </w:rPr>
        <w:t xml:space="preserve"> 2</w:t>
      </w:r>
      <w:r w:rsidR="00EC48C9" w:rsidRPr="00CF4123">
        <w:rPr>
          <w:rFonts w:ascii="Verdana" w:hAnsi="Verdana" w:cs="Arial"/>
          <w:sz w:val="18"/>
          <w:szCs w:val="18"/>
          <w:lang w:val="en-GB"/>
        </w:rPr>
        <w:t>3</w:t>
      </w:r>
      <w:r w:rsidR="003B0BAD" w:rsidRPr="00CF4123">
        <w:rPr>
          <w:rFonts w:ascii="Verdana" w:hAnsi="Verdana" w:cs="Arial"/>
          <w:sz w:val="18"/>
          <w:szCs w:val="18"/>
          <w:lang w:val="en-GB"/>
        </w:rPr>
        <w:t xml:space="preserve"> </w:t>
      </w:r>
      <w:r w:rsidRPr="00CF4123">
        <w:rPr>
          <w:rFonts w:ascii="Verdana" w:hAnsi="Verdana" w:cs="Arial"/>
          <w:sz w:val="18"/>
          <w:szCs w:val="18"/>
          <w:lang w:val="en-GB"/>
        </w:rPr>
        <w:t>March</w:t>
      </w:r>
      <w:r w:rsidR="003B0BAD" w:rsidRPr="00CF4123">
        <w:rPr>
          <w:rFonts w:ascii="Verdana" w:hAnsi="Verdana" w:cs="Arial"/>
          <w:sz w:val="18"/>
          <w:szCs w:val="18"/>
          <w:lang w:val="en-GB"/>
        </w:rPr>
        <w:t xml:space="preserve"> </w:t>
      </w:r>
      <w:r w:rsidR="00F01465" w:rsidRPr="00CF4123">
        <w:rPr>
          <w:rFonts w:ascii="Verdana" w:hAnsi="Verdana" w:cs="Arial"/>
          <w:sz w:val="18"/>
          <w:szCs w:val="18"/>
          <w:lang w:val="en-GB"/>
        </w:rPr>
        <w:t>20</w:t>
      </w:r>
      <w:r w:rsidR="003D191E" w:rsidRPr="00CF4123">
        <w:rPr>
          <w:rFonts w:ascii="Verdana" w:hAnsi="Verdana" w:cs="Arial"/>
          <w:sz w:val="18"/>
          <w:szCs w:val="18"/>
          <w:lang w:val="en-GB"/>
        </w:rPr>
        <w:t>2</w:t>
      </w:r>
      <w:r w:rsidR="00770C7D" w:rsidRPr="00CF4123">
        <w:rPr>
          <w:rFonts w:ascii="Verdana" w:hAnsi="Verdana" w:cs="Arial"/>
          <w:sz w:val="18"/>
          <w:szCs w:val="18"/>
          <w:lang w:val="en-GB"/>
        </w:rPr>
        <w:t>6</w:t>
      </w:r>
      <w:r w:rsidR="00904E56" w:rsidRPr="00CF4123">
        <w:rPr>
          <w:rFonts w:ascii="Verdana" w:hAnsi="Verdana" w:cs="Arial"/>
          <w:sz w:val="18"/>
          <w:szCs w:val="18"/>
          <w:lang w:val="en-GB"/>
        </w:rPr>
        <w:t xml:space="preserve"> </w:t>
      </w:r>
    </w:p>
    <w:bookmarkEnd w:id="0"/>
    <w:p w14:paraId="2EF281CC" w14:textId="77777777" w:rsidR="000467DA" w:rsidRPr="00CF4123" w:rsidRDefault="000467DA" w:rsidP="00B647F7">
      <w:pPr>
        <w:pStyle w:val="NormalWeb"/>
        <w:spacing w:after="0" w:line="264" w:lineRule="auto"/>
        <w:jc w:val="both"/>
        <w:rPr>
          <w:rFonts w:ascii="Verdana" w:eastAsiaTheme="minorHAnsi" w:hAnsi="Verdana" w:cs="Arial"/>
          <w:b/>
          <w:color w:val="5B9BD5" w:themeColor="accent1"/>
          <w:sz w:val="26"/>
          <w:szCs w:val="26"/>
          <w:lang w:val="en-GB" w:eastAsia="en-US"/>
        </w:rPr>
      </w:pPr>
    </w:p>
    <w:p w14:paraId="7A36563F" w14:textId="0CE11DCF" w:rsidR="00E6204F" w:rsidRPr="00CF4123" w:rsidRDefault="00E6204F" w:rsidP="00E6204F">
      <w:pPr>
        <w:pStyle w:val="NormalWeb"/>
        <w:spacing w:after="0" w:line="264" w:lineRule="auto"/>
        <w:jc w:val="both"/>
        <w:rPr>
          <w:rFonts w:ascii="Verdana" w:eastAsiaTheme="minorHAnsi" w:hAnsi="Verdana" w:cs="Arial"/>
          <w:b/>
          <w:color w:val="5B9BD5" w:themeColor="accent1"/>
          <w:sz w:val="26"/>
          <w:szCs w:val="26"/>
          <w:lang w:val="en-GB" w:eastAsia="en-US"/>
        </w:rPr>
      </w:pPr>
      <w:r>
        <w:rPr>
          <w:rFonts w:ascii="Verdana" w:eastAsiaTheme="minorHAnsi" w:hAnsi="Verdana" w:cs="Arial"/>
          <w:b/>
          <w:color w:val="5B9BD5" w:themeColor="accent1"/>
          <w:sz w:val="26"/>
          <w:szCs w:val="26"/>
          <w:lang w:val="en-GB" w:eastAsia="en-US"/>
        </w:rPr>
        <w:t>R</w:t>
      </w:r>
      <w:r w:rsidRPr="00E6204F">
        <w:rPr>
          <w:rFonts w:ascii="Verdana" w:eastAsiaTheme="minorHAnsi" w:hAnsi="Verdana" w:cs="Arial"/>
          <w:b/>
          <w:color w:val="5B9BD5" w:themeColor="accent1"/>
          <w:sz w:val="26"/>
          <w:szCs w:val="26"/>
          <w:lang w:val="en-GB" w:eastAsia="en-US"/>
        </w:rPr>
        <w:t>ecord-</w:t>
      </w:r>
      <w:r>
        <w:rPr>
          <w:rFonts w:ascii="Verdana" w:eastAsiaTheme="minorHAnsi" w:hAnsi="Verdana" w:cs="Arial"/>
          <w:b/>
          <w:color w:val="5B9BD5" w:themeColor="accent1"/>
          <w:sz w:val="26"/>
          <w:szCs w:val="26"/>
          <w:lang w:val="en-GB" w:eastAsia="en-US"/>
        </w:rPr>
        <w:t>b</w:t>
      </w:r>
      <w:r w:rsidRPr="00E6204F">
        <w:rPr>
          <w:rFonts w:ascii="Verdana" w:eastAsiaTheme="minorHAnsi" w:hAnsi="Verdana" w:cs="Arial"/>
          <w:b/>
          <w:color w:val="5B9BD5" w:themeColor="accent1"/>
          <w:sz w:val="26"/>
          <w:szCs w:val="26"/>
          <w:lang w:val="en-GB" w:eastAsia="en-US"/>
        </w:rPr>
        <w:t xml:space="preserve">reaking </w:t>
      </w:r>
      <w:r>
        <w:rPr>
          <w:rFonts w:ascii="Verdana" w:eastAsiaTheme="minorHAnsi" w:hAnsi="Verdana" w:cs="Arial"/>
          <w:b/>
          <w:color w:val="5B9BD5" w:themeColor="accent1"/>
          <w:sz w:val="26"/>
          <w:szCs w:val="26"/>
          <w:lang w:val="en-GB" w:eastAsia="en-US"/>
        </w:rPr>
        <w:t>Y</w:t>
      </w:r>
      <w:r w:rsidRPr="00E6204F">
        <w:rPr>
          <w:rFonts w:ascii="Verdana" w:eastAsiaTheme="minorHAnsi" w:hAnsi="Verdana" w:cs="Arial"/>
          <w:b/>
          <w:color w:val="5B9BD5" w:themeColor="accent1"/>
          <w:sz w:val="26"/>
          <w:szCs w:val="26"/>
          <w:lang w:val="en-GB" w:eastAsia="en-US"/>
        </w:rPr>
        <w:t>ear</w:t>
      </w:r>
      <w:r>
        <w:rPr>
          <w:rFonts w:ascii="Verdana" w:eastAsiaTheme="minorHAnsi" w:hAnsi="Verdana" w:cs="Arial"/>
          <w:b/>
          <w:color w:val="5B9BD5" w:themeColor="accent1"/>
          <w:sz w:val="26"/>
          <w:szCs w:val="26"/>
          <w:lang w:val="en-GB" w:eastAsia="en-US"/>
        </w:rPr>
        <w:t xml:space="preserve"> </w:t>
      </w:r>
      <w:r w:rsidRPr="00E6204F">
        <w:rPr>
          <w:rFonts w:ascii="Verdana" w:eastAsiaTheme="minorHAnsi" w:hAnsi="Verdana" w:cs="Arial"/>
          <w:b/>
          <w:color w:val="5B9BD5" w:themeColor="accent1"/>
          <w:sz w:val="26"/>
          <w:szCs w:val="26"/>
          <w:lang w:val="en-GB" w:eastAsia="en-US"/>
        </w:rPr>
        <w:t xml:space="preserve">2025 </w:t>
      </w:r>
      <w:r>
        <w:rPr>
          <w:rFonts w:ascii="Verdana" w:eastAsiaTheme="minorHAnsi" w:hAnsi="Verdana" w:cs="Arial"/>
          <w:b/>
          <w:color w:val="5B9BD5" w:themeColor="accent1"/>
          <w:sz w:val="26"/>
          <w:szCs w:val="26"/>
          <w:lang w:val="en-GB" w:eastAsia="en-US"/>
        </w:rPr>
        <w:t>on</w:t>
      </w:r>
      <w:r w:rsidRPr="00E6204F">
        <w:rPr>
          <w:rFonts w:ascii="Verdana" w:eastAsiaTheme="minorHAnsi" w:hAnsi="Verdana" w:cs="Arial"/>
          <w:b/>
          <w:color w:val="5B9BD5" w:themeColor="accent1"/>
          <w:sz w:val="26"/>
          <w:szCs w:val="26"/>
          <w:lang w:val="en-GB" w:eastAsia="en-US"/>
        </w:rPr>
        <w:t xml:space="preserve"> the Warsaw Stock Exchange  </w:t>
      </w:r>
    </w:p>
    <w:p w14:paraId="68941C9C" w14:textId="63ACB6C5" w:rsidR="00CE5334" w:rsidRPr="00CF4123" w:rsidRDefault="00CE5334" w:rsidP="00CE5334">
      <w:pPr>
        <w:jc w:val="both"/>
        <w:rPr>
          <w:rFonts w:ascii="Verdana" w:hAnsi="Verdana" w:cs="Arial"/>
          <w:bCs/>
          <w:color w:val="5B9BD5" w:themeColor="accent1"/>
          <w:sz w:val="20"/>
          <w:szCs w:val="20"/>
          <w:lang w:val="en-GB" w:eastAsia="pl-PL"/>
        </w:rPr>
      </w:pPr>
      <w:r w:rsidRPr="00CF4123">
        <w:rPr>
          <w:rFonts w:ascii="Verdana" w:hAnsi="Verdana" w:cs="Arial"/>
          <w:bCs/>
          <w:color w:val="5B9BD5" w:themeColor="accent1"/>
          <w:sz w:val="20"/>
          <w:szCs w:val="20"/>
          <w:lang w:val="en-GB" w:eastAsia="pl-PL"/>
        </w:rPr>
        <w:t xml:space="preserve">The Warsaw Stock Exchange Group </w:t>
      </w:r>
      <w:r w:rsidR="004E3926">
        <w:rPr>
          <w:rFonts w:ascii="Verdana" w:hAnsi="Verdana" w:cs="Arial"/>
          <w:bCs/>
          <w:color w:val="5B9BD5" w:themeColor="accent1"/>
          <w:sz w:val="20"/>
          <w:szCs w:val="20"/>
          <w:lang w:val="en-GB" w:eastAsia="pl-PL"/>
        </w:rPr>
        <w:t>closed</w:t>
      </w:r>
      <w:r w:rsidRPr="00CF4123">
        <w:rPr>
          <w:rFonts w:ascii="Verdana" w:hAnsi="Verdana" w:cs="Arial"/>
          <w:bCs/>
          <w:color w:val="5B9BD5" w:themeColor="accent1"/>
          <w:sz w:val="20"/>
          <w:szCs w:val="20"/>
          <w:lang w:val="en-GB" w:eastAsia="pl-PL"/>
        </w:rPr>
        <w:t xml:space="preserve"> 2025 with record</w:t>
      </w:r>
      <w:r w:rsidR="004E3926">
        <w:rPr>
          <w:rFonts w:ascii="Verdana" w:hAnsi="Verdana" w:cs="Arial"/>
          <w:bCs/>
          <w:color w:val="5B9BD5" w:themeColor="accent1"/>
          <w:sz w:val="20"/>
          <w:szCs w:val="20"/>
          <w:lang w:val="en-GB" w:eastAsia="pl-PL"/>
        </w:rPr>
        <w:t>-breaking</w:t>
      </w:r>
      <w:r w:rsidRPr="00CF4123">
        <w:rPr>
          <w:rFonts w:ascii="Verdana" w:hAnsi="Verdana" w:cs="Arial"/>
          <w:bCs/>
          <w:color w:val="5B9BD5" w:themeColor="accent1"/>
          <w:sz w:val="20"/>
          <w:szCs w:val="20"/>
          <w:lang w:val="en-GB" w:eastAsia="pl-PL"/>
        </w:rPr>
        <w:t xml:space="preserve"> financial and market results. The Group’s revenue reached PLN 551.9 million, representing an 18.7% year-on-year increase and marking the highest figure in the Group’s history. The year 2025 saw record</w:t>
      </w:r>
      <w:r w:rsidR="004E3926">
        <w:rPr>
          <w:rFonts w:ascii="Verdana" w:hAnsi="Verdana" w:cs="Arial"/>
          <w:bCs/>
          <w:color w:val="5B9BD5" w:themeColor="accent1"/>
          <w:sz w:val="20"/>
          <w:szCs w:val="20"/>
          <w:lang w:val="en-GB" w:eastAsia="pl-PL"/>
        </w:rPr>
        <w:t>-high</w:t>
      </w:r>
      <w:r w:rsidRPr="00CF4123">
        <w:rPr>
          <w:rFonts w:ascii="Verdana" w:hAnsi="Verdana" w:cs="Arial"/>
          <w:bCs/>
          <w:color w:val="5B9BD5" w:themeColor="accent1"/>
          <w:sz w:val="20"/>
          <w:szCs w:val="20"/>
          <w:lang w:val="en-GB" w:eastAsia="pl-PL"/>
        </w:rPr>
        <w:t xml:space="preserve"> turnover on the equity market, the largest </w:t>
      </w:r>
      <w:r w:rsidR="00FD6B3A">
        <w:rPr>
          <w:rFonts w:ascii="Verdana" w:hAnsi="Verdana" w:cs="Arial"/>
          <w:bCs/>
          <w:color w:val="5B9BD5" w:themeColor="accent1"/>
          <w:sz w:val="20"/>
          <w:szCs w:val="20"/>
          <w:lang w:val="en-GB" w:eastAsia="pl-PL"/>
        </w:rPr>
        <w:t>gains of</w:t>
      </w:r>
      <w:r w:rsidRPr="00CF4123">
        <w:rPr>
          <w:rFonts w:ascii="Verdana" w:hAnsi="Verdana" w:cs="Arial"/>
          <w:bCs/>
          <w:color w:val="5B9BD5" w:themeColor="accent1"/>
          <w:sz w:val="20"/>
          <w:szCs w:val="20"/>
          <w:lang w:val="en-GB" w:eastAsia="pl-PL"/>
        </w:rPr>
        <w:t xml:space="preserve"> the main stock market indices in the 21</w:t>
      </w:r>
      <w:r w:rsidRPr="000D1DED">
        <w:rPr>
          <w:rFonts w:ascii="Verdana" w:hAnsi="Verdana" w:cs="Arial"/>
          <w:bCs/>
          <w:color w:val="5B9BD5" w:themeColor="accent1"/>
          <w:sz w:val="20"/>
          <w:szCs w:val="20"/>
          <w:vertAlign w:val="superscript"/>
          <w:lang w:val="en-GB" w:eastAsia="pl-PL"/>
        </w:rPr>
        <w:t>st</w:t>
      </w:r>
      <w:r w:rsidR="000D1DED">
        <w:rPr>
          <w:rFonts w:ascii="Verdana" w:hAnsi="Verdana" w:cs="Arial"/>
          <w:bCs/>
          <w:color w:val="5B9BD5" w:themeColor="accent1"/>
          <w:sz w:val="20"/>
          <w:szCs w:val="20"/>
          <w:lang w:val="en-GB" w:eastAsia="pl-PL"/>
        </w:rPr>
        <w:t xml:space="preserve"> </w:t>
      </w:r>
      <w:r w:rsidRPr="00CF4123">
        <w:rPr>
          <w:rFonts w:ascii="Verdana" w:hAnsi="Verdana" w:cs="Arial"/>
          <w:bCs/>
          <w:color w:val="5B9BD5" w:themeColor="accent1"/>
          <w:sz w:val="20"/>
          <w:szCs w:val="20"/>
          <w:lang w:val="en-GB" w:eastAsia="pl-PL"/>
        </w:rPr>
        <w:t>century, and a further rise in the number of investors, with the number of brokerage accounts exceeding 2.5 million.</w:t>
      </w:r>
    </w:p>
    <w:p w14:paraId="4DD55CEA" w14:textId="5DCC3C63" w:rsidR="00265A33" w:rsidRPr="00432B78" w:rsidRDefault="00265A33" w:rsidP="00265A33">
      <w:pPr>
        <w:pStyle w:val="ListParagraph"/>
        <w:numPr>
          <w:ilvl w:val="0"/>
          <w:numId w:val="16"/>
        </w:numPr>
        <w:jc w:val="both"/>
        <w:rPr>
          <w:rFonts w:ascii="Verdana" w:hAnsi="Verdana" w:cs="Arial"/>
          <w:b/>
          <w:sz w:val="14"/>
          <w:szCs w:val="14"/>
          <w:lang w:val="en-GB"/>
        </w:rPr>
      </w:pPr>
      <w:r>
        <w:rPr>
          <w:rFonts w:ascii="Verdana" w:hAnsi="Verdana" w:cs="Arial"/>
          <w:b/>
          <w:sz w:val="14"/>
          <w:szCs w:val="14"/>
          <w:lang w:val="en-GB"/>
        </w:rPr>
        <w:t xml:space="preserve">PLN </w:t>
      </w:r>
      <w:r>
        <w:rPr>
          <w:rFonts w:ascii="Verdana" w:hAnsi="Verdana" w:cs="Arial"/>
          <w:b/>
          <w:sz w:val="14"/>
          <w:szCs w:val="14"/>
          <w:lang w:val="en-GB"/>
        </w:rPr>
        <w:t>470.3</w:t>
      </w:r>
      <w:r w:rsidRPr="00432B78">
        <w:rPr>
          <w:rFonts w:ascii="Verdana" w:hAnsi="Verdana" w:cs="Arial"/>
          <w:b/>
          <w:sz w:val="14"/>
          <w:szCs w:val="14"/>
          <w:lang w:val="en-GB"/>
        </w:rPr>
        <w:t xml:space="preserve"> </w:t>
      </w:r>
      <w:r>
        <w:rPr>
          <w:rFonts w:ascii="Verdana" w:hAnsi="Verdana" w:cs="Arial"/>
          <w:b/>
          <w:sz w:val="14"/>
          <w:szCs w:val="14"/>
          <w:lang w:val="en-GB"/>
        </w:rPr>
        <w:t>bn</w:t>
      </w:r>
      <w:r w:rsidRPr="00432B78">
        <w:rPr>
          <w:rFonts w:ascii="Verdana" w:hAnsi="Verdana" w:cs="Arial"/>
          <w:b/>
          <w:sz w:val="14"/>
          <w:szCs w:val="14"/>
          <w:lang w:val="en-GB"/>
        </w:rPr>
        <w:t xml:space="preserve"> </w:t>
      </w:r>
      <w:r>
        <w:rPr>
          <w:rFonts w:ascii="Verdana" w:hAnsi="Verdana" w:cs="Arial"/>
          <w:b/>
          <w:sz w:val="14"/>
          <w:szCs w:val="14"/>
          <w:lang w:val="en-GB"/>
        </w:rPr>
        <w:t>–</w:t>
      </w:r>
      <w:r w:rsidRPr="00432B78">
        <w:rPr>
          <w:rFonts w:ascii="Verdana" w:hAnsi="Verdana" w:cs="Arial"/>
          <w:b/>
          <w:sz w:val="14"/>
          <w:szCs w:val="14"/>
          <w:lang w:val="en-GB"/>
        </w:rPr>
        <w:t xml:space="preserve"> </w:t>
      </w:r>
      <w:r>
        <w:rPr>
          <w:rFonts w:ascii="Verdana" w:hAnsi="Verdana" w:cs="Arial"/>
          <w:b/>
          <w:sz w:val="14"/>
          <w:szCs w:val="14"/>
          <w:lang w:val="en-GB"/>
        </w:rPr>
        <w:t xml:space="preserve">GPW </w:t>
      </w:r>
      <w:r w:rsidRPr="008B26B6">
        <w:rPr>
          <w:rFonts w:ascii="Verdana" w:hAnsi="Verdana" w:cs="Arial"/>
          <w:b/>
          <w:sz w:val="14"/>
          <w:szCs w:val="14"/>
          <w:lang w:val="en-GB"/>
        </w:rPr>
        <w:t xml:space="preserve">Main Market EOB equity turnover </w:t>
      </w:r>
      <w:r w:rsidRPr="00432B78">
        <w:rPr>
          <w:rFonts w:ascii="Verdana" w:hAnsi="Verdana" w:cs="Arial"/>
          <w:b/>
          <w:sz w:val="14"/>
          <w:szCs w:val="14"/>
          <w:lang w:val="en-GB"/>
        </w:rPr>
        <w:t>(+</w:t>
      </w:r>
      <w:r>
        <w:rPr>
          <w:rFonts w:ascii="Verdana" w:hAnsi="Verdana" w:cs="Arial"/>
          <w:b/>
          <w:sz w:val="14"/>
          <w:szCs w:val="14"/>
          <w:lang w:val="en-GB"/>
        </w:rPr>
        <w:t>41.9</w:t>
      </w:r>
      <w:r w:rsidRPr="00432B78">
        <w:rPr>
          <w:rFonts w:ascii="Verdana" w:hAnsi="Verdana" w:cs="Arial"/>
          <w:b/>
          <w:sz w:val="14"/>
          <w:szCs w:val="14"/>
          <w:lang w:val="en-GB"/>
        </w:rPr>
        <w:t xml:space="preserve">% </w:t>
      </w:r>
      <w:r>
        <w:rPr>
          <w:rFonts w:ascii="Verdana" w:hAnsi="Verdana" w:cs="Arial"/>
          <w:b/>
          <w:sz w:val="14"/>
          <w:szCs w:val="14"/>
          <w:lang w:val="en-GB"/>
        </w:rPr>
        <w:t>YoY</w:t>
      </w:r>
      <w:r w:rsidRPr="00432B78">
        <w:rPr>
          <w:rFonts w:ascii="Verdana" w:hAnsi="Verdana" w:cs="Arial"/>
          <w:b/>
          <w:sz w:val="14"/>
          <w:szCs w:val="14"/>
          <w:lang w:val="en-GB"/>
        </w:rPr>
        <w:t>)</w:t>
      </w:r>
    </w:p>
    <w:p w14:paraId="0A44BA78" w14:textId="4A726B45" w:rsidR="00265A33" w:rsidRPr="00432B78" w:rsidRDefault="00265A33" w:rsidP="00265A33">
      <w:pPr>
        <w:pStyle w:val="ListParagraph"/>
        <w:numPr>
          <w:ilvl w:val="0"/>
          <w:numId w:val="16"/>
        </w:numPr>
        <w:jc w:val="both"/>
        <w:rPr>
          <w:rFonts w:ascii="Verdana" w:hAnsi="Verdana" w:cs="Arial"/>
          <w:b/>
          <w:sz w:val="14"/>
          <w:szCs w:val="14"/>
          <w:lang w:val="en-GB"/>
        </w:rPr>
      </w:pPr>
      <w:r>
        <w:rPr>
          <w:rFonts w:ascii="Verdana" w:hAnsi="Verdana" w:cs="Arial"/>
          <w:b/>
          <w:sz w:val="14"/>
          <w:szCs w:val="14"/>
          <w:lang w:val="en-GB"/>
        </w:rPr>
        <w:t xml:space="preserve">PLN </w:t>
      </w:r>
      <w:r w:rsidRPr="00432B78">
        <w:rPr>
          <w:rFonts w:ascii="Verdana" w:hAnsi="Verdana" w:cs="Arial"/>
          <w:b/>
          <w:sz w:val="14"/>
          <w:szCs w:val="14"/>
          <w:lang w:val="en-GB"/>
        </w:rPr>
        <w:t>1</w:t>
      </w:r>
      <w:r>
        <w:rPr>
          <w:rFonts w:ascii="Verdana" w:hAnsi="Verdana" w:cs="Arial"/>
          <w:b/>
          <w:sz w:val="14"/>
          <w:szCs w:val="14"/>
          <w:lang w:val="en-GB"/>
        </w:rPr>
        <w:t>.</w:t>
      </w:r>
      <w:r>
        <w:rPr>
          <w:rFonts w:ascii="Verdana" w:hAnsi="Verdana" w:cs="Arial"/>
          <w:b/>
          <w:sz w:val="14"/>
          <w:szCs w:val="14"/>
          <w:lang w:val="en-GB"/>
        </w:rPr>
        <w:t>89</w:t>
      </w:r>
      <w:r w:rsidRPr="00432B78">
        <w:rPr>
          <w:rFonts w:ascii="Verdana" w:hAnsi="Verdana" w:cs="Arial"/>
          <w:b/>
          <w:sz w:val="14"/>
          <w:szCs w:val="14"/>
          <w:lang w:val="en-GB"/>
        </w:rPr>
        <w:t xml:space="preserve"> </w:t>
      </w:r>
      <w:r>
        <w:rPr>
          <w:rFonts w:ascii="Verdana" w:hAnsi="Verdana" w:cs="Arial"/>
          <w:b/>
          <w:sz w:val="14"/>
          <w:szCs w:val="14"/>
          <w:lang w:val="en-GB"/>
        </w:rPr>
        <w:t>bn</w:t>
      </w:r>
      <w:r w:rsidRPr="00432B78">
        <w:rPr>
          <w:rFonts w:ascii="Verdana" w:hAnsi="Verdana" w:cs="Arial"/>
          <w:b/>
          <w:sz w:val="14"/>
          <w:szCs w:val="14"/>
          <w:lang w:val="en-GB"/>
        </w:rPr>
        <w:t xml:space="preserve"> - GPW </w:t>
      </w:r>
      <w:r w:rsidRPr="008B26B6">
        <w:rPr>
          <w:rFonts w:ascii="Verdana" w:hAnsi="Verdana" w:cs="Arial"/>
          <w:b/>
          <w:sz w:val="14"/>
          <w:szCs w:val="14"/>
          <w:lang w:val="en-GB"/>
        </w:rPr>
        <w:t xml:space="preserve">Main Market average daily equity turnover </w:t>
      </w:r>
      <w:r>
        <w:rPr>
          <w:rFonts w:ascii="Verdana" w:hAnsi="Verdana" w:cs="Arial"/>
          <w:b/>
          <w:sz w:val="14"/>
          <w:szCs w:val="14"/>
          <w:lang w:val="en-GB"/>
        </w:rPr>
        <w:t xml:space="preserve">value </w:t>
      </w:r>
      <w:r w:rsidRPr="00432B78">
        <w:rPr>
          <w:rFonts w:ascii="Verdana" w:hAnsi="Verdana" w:cs="Arial"/>
          <w:b/>
          <w:sz w:val="14"/>
          <w:szCs w:val="14"/>
          <w:lang w:val="en-GB"/>
        </w:rPr>
        <w:t>(</w:t>
      </w:r>
      <w:r>
        <w:rPr>
          <w:rFonts w:ascii="Verdana" w:hAnsi="Verdana" w:cs="Arial"/>
          <w:b/>
          <w:sz w:val="14"/>
          <w:szCs w:val="14"/>
          <w:lang w:val="en-GB"/>
        </w:rPr>
        <w:t>+41.9</w:t>
      </w:r>
      <w:r w:rsidRPr="00432B78">
        <w:rPr>
          <w:rFonts w:ascii="Verdana" w:hAnsi="Verdana" w:cs="Arial"/>
          <w:b/>
          <w:sz w:val="14"/>
          <w:szCs w:val="14"/>
          <w:lang w:val="en-GB"/>
        </w:rPr>
        <w:t xml:space="preserve">% </w:t>
      </w:r>
      <w:r>
        <w:rPr>
          <w:rFonts w:ascii="Verdana" w:hAnsi="Verdana" w:cs="Arial"/>
          <w:b/>
          <w:sz w:val="14"/>
          <w:szCs w:val="14"/>
          <w:lang w:val="en-GB"/>
        </w:rPr>
        <w:t>YoY</w:t>
      </w:r>
      <w:r w:rsidRPr="00432B78">
        <w:rPr>
          <w:rFonts w:ascii="Verdana" w:hAnsi="Verdana" w:cs="Arial"/>
          <w:b/>
          <w:sz w:val="14"/>
          <w:szCs w:val="14"/>
          <w:lang w:val="en-GB"/>
        </w:rPr>
        <w:t>)</w:t>
      </w:r>
    </w:p>
    <w:p w14:paraId="2CD7BE56" w14:textId="2C8485C4" w:rsidR="00265A33" w:rsidRPr="00432B78" w:rsidRDefault="00265A33" w:rsidP="00265A33">
      <w:pPr>
        <w:pStyle w:val="ListParagraph"/>
        <w:numPr>
          <w:ilvl w:val="0"/>
          <w:numId w:val="16"/>
        </w:numPr>
        <w:jc w:val="both"/>
        <w:rPr>
          <w:rFonts w:ascii="Verdana" w:hAnsi="Verdana" w:cs="Arial"/>
          <w:b/>
          <w:sz w:val="14"/>
          <w:szCs w:val="14"/>
          <w:lang w:val="en-GB"/>
        </w:rPr>
      </w:pPr>
      <w:r>
        <w:rPr>
          <w:rFonts w:ascii="Verdana" w:hAnsi="Verdana" w:cs="Arial"/>
          <w:b/>
          <w:sz w:val="14"/>
          <w:szCs w:val="14"/>
          <w:lang w:val="en-GB"/>
        </w:rPr>
        <w:t xml:space="preserve">PLN </w:t>
      </w:r>
      <w:r>
        <w:rPr>
          <w:rFonts w:ascii="Verdana" w:hAnsi="Verdana" w:cs="Arial"/>
          <w:b/>
          <w:sz w:val="14"/>
          <w:szCs w:val="14"/>
          <w:lang w:val="en-GB"/>
        </w:rPr>
        <w:t>551.9</w:t>
      </w:r>
      <w:r w:rsidRPr="00432B78">
        <w:rPr>
          <w:rFonts w:ascii="Verdana" w:hAnsi="Verdana" w:cs="Arial"/>
          <w:b/>
          <w:sz w:val="14"/>
          <w:szCs w:val="14"/>
          <w:lang w:val="en-GB"/>
        </w:rPr>
        <w:t xml:space="preserve"> </w:t>
      </w:r>
      <w:r>
        <w:rPr>
          <w:rFonts w:ascii="Verdana" w:hAnsi="Verdana" w:cs="Arial"/>
          <w:b/>
          <w:sz w:val="14"/>
          <w:szCs w:val="14"/>
          <w:lang w:val="en-GB"/>
        </w:rPr>
        <w:t>mn</w:t>
      </w:r>
      <w:r w:rsidRPr="00432B78">
        <w:rPr>
          <w:rFonts w:ascii="Verdana" w:hAnsi="Verdana" w:cs="Arial"/>
          <w:b/>
          <w:sz w:val="14"/>
          <w:szCs w:val="14"/>
          <w:lang w:val="en-GB"/>
        </w:rPr>
        <w:t xml:space="preserve"> –</w:t>
      </w:r>
      <w:r>
        <w:rPr>
          <w:rFonts w:ascii="Verdana" w:hAnsi="Verdana" w:cs="Arial"/>
          <w:b/>
          <w:sz w:val="14"/>
          <w:szCs w:val="14"/>
          <w:lang w:val="en-GB"/>
        </w:rPr>
        <w:t xml:space="preserve"> </w:t>
      </w:r>
      <w:r w:rsidRPr="00432B78">
        <w:rPr>
          <w:rFonts w:ascii="Verdana" w:hAnsi="Verdana" w:cs="Arial"/>
          <w:b/>
          <w:sz w:val="14"/>
          <w:szCs w:val="14"/>
          <w:lang w:val="en-GB"/>
        </w:rPr>
        <w:t xml:space="preserve">GPW </w:t>
      </w:r>
      <w:r>
        <w:rPr>
          <w:rFonts w:ascii="Verdana" w:hAnsi="Verdana" w:cs="Arial"/>
          <w:b/>
          <w:sz w:val="14"/>
          <w:szCs w:val="14"/>
          <w:lang w:val="en-GB"/>
        </w:rPr>
        <w:t xml:space="preserve">Group revenue </w:t>
      </w:r>
      <w:r w:rsidRPr="00432B78">
        <w:rPr>
          <w:rFonts w:ascii="Verdana" w:hAnsi="Verdana" w:cs="Arial"/>
          <w:b/>
          <w:sz w:val="14"/>
          <w:szCs w:val="14"/>
          <w:lang w:val="en-GB"/>
        </w:rPr>
        <w:t>(+</w:t>
      </w:r>
      <w:r>
        <w:rPr>
          <w:rFonts w:ascii="Verdana" w:hAnsi="Verdana" w:cs="Arial"/>
          <w:b/>
          <w:sz w:val="14"/>
          <w:szCs w:val="14"/>
          <w:lang w:val="en-GB"/>
        </w:rPr>
        <w:t>18.7</w:t>
      </w:r>
      <w:r w:rsidRPr="00432B78">
        <w:rPr>
          <w:rFonts w:ascii="Verdana" w:hAnsi="Verdana" w:cs="Arial"/>
          <w:b/>
          <w:sz w:val="14"/>
          <w:szCs w:val="14"/>
          <w:lang w:val="en-GB"/>
        </w:rPr>
        <w:t xml:space="preserve">% </w:t>
      </w:r>
      <w:r>
        <w:rPr>
          <w:rFonts w:ascii="Verdana" w:hAnsi="Verdana" w:cs="Arial"/>
          <w:b/>
          <w:sz w:val="14"/>
          <w:szCs w:val="14"/>
          <w:lang w:val="en-GB"/>
        </w:rPr>
        <w:t>YoY</w:t>
      </w:r>
      <w:r w:rsidRPr="00432B78">
        <w:rPr>
          <w:rFonts w:ascii="Verdana" w:hAnsi="Verdana" w:cs="Arial"/>
          <w:b/>
          <w:sz w:val="14"/>
          <w:szCs w:val="14"/>
          <w:lang w:val="en-GB"/>
        </w:rPr>
        <w:t>)</w:t>
      </w:r>
    </w:p>
    <w:p w14:paraId="66B36E96" w14:textId="1F275D8E" w:rsidR="00265A33" w:rsidRPr="00432B78" w:rsidRDefault="00265A33" w:rsidP="00265A33">
      <w:pPr>
        <w:pStyle w:val="ListParagraph"/>
        <w:numPr>
          <w:ilvl w:val="0"/>
          <w:numId w:val="16"/>
        </w:numPr>
        <w:jc w:val="both"/>
        <w:rPr>
          <w:rFonts w:ascii="Verdana" w:hAnsi="Verdana" w:cs="Arial"/>
          <w:b/>
          <w:sz w:val="14"/>
          <w:szCs w:val="14"/>
          <w:lang w:val="en-GB"/>
        </w:rPr>
      </w:pPr>
      <w:r>
        <w:rPr>
          <w:rFonts w:ascii="Verdana" w:hAnsi="Verdana" w:cs="Arial"/>
          <w:b/>
          <w:sz w:val="14"/>
          <w:szCs w:val="14"/>
          <w:lang w:val="en-GB"/>
        </w:rPr>
        <w:t xml:space="preserve">PLN </w:t>
      </w:r>
      <w:r>
        <w:rPr>
          <w:rFonts w:ascii="Verdana" w:hAnsi="Verdana" w:cs="Arial"/>
          <w:b/>
          <w:sz w:val="14"/>
          <w:szCs w:val="14"/>
          <w:lang w:val="en-GB"/>
        </w:rPr>
        <w:t>225.4</w:t>
      </w:r>
      <w:r w:rsidRPr="00432B78">
        <w:rPr>
          <w:rFonts w:ascii="Verdana" w:hAnsi="Verdana" w:cs="Arial"/>
          <w:b/>
          <w:sz w:val="14"/>
          <w:szCs w:val="14"/>
          <w:lang w:val="en-GB"/>
        </w:rPr>
        <w:t xml:space="preserve"> </w:t>
      </w:r>
      <w:r>
        <w:rPr>
          <w:rFonts w:ascii="Verdana" w:hAnsi="Verdana" w:cs="Arial"/>
          <w:b/>
          <w:sz w:val="14"/>
          <w:szCs w:val="14"/>
          <w:lang w:val="en-GB"/>
        </w:rPr>
        <w:t>mn</w:t>
      </w:r>
      <w:r w:rsidRPr="00432B78">
        <w:rPr>
          <w:rFonts w:ascii="Verdana" w:hAnsi="Verdana" w:cs="Arial"/>
          <w:b/>
          <w:sz w:val="14"/>
          <w:szCs w:val="14"/>
          <w:lang w:val="en-GB"/>
        </w:rPr>
        <w:t xml:space="preserve"> –</w:t>
      </w:r>
      <w:r>
        <w:rPr>
          <w:rFonts w:ascii="Verdana" w:hAnsi="Verdana" w:cs="Arial"/>
          <w:b/>
          <w:sz w:val="14"/>
          <w:szCs w:val="14"/>
          <w:lang w:val="en-GB"/>
        </w:rPr>
        <w:t xml:space="preserve"> adjusted </w:t>
      </w:r>
      <w:r w:rsidRPr="00432B78">
        <w:rPr>
          <w:rFonts w:ascii="Verdana" w:hAnsi="Verdana" w:cs="Arial"/>
          <w:b/>
          <w:sz w:val="14"/>
          <w:szCs w:val="14"/>
          <w:lang w:val="en-GB"/>
        </w:rPr>
        <w:t>EBITDA (</w:t>
      </w:r>
      <w:r>
        <w:rPr>
          <w:rFonts w:ascii="Verdana" w:hAnsi="Verdana" w:cs="Arial"/>
          <w:b/>
          <w:sz w:val="14"/>
          <w:szCs w:val="14"/>
          <w:lang w:val="en-GB"/>
        </w:rPr>
        <w:t>+37.7</w:t>
      </w:r>
      <w:r w:rsidRPr="00432B78">
        <w:rPr>
          <w:rFonts w:ascii="Verdana" w:hAnsi="Verdana" w:cs="Arial"/>
          <w:b/>
          <w:sz w:val="14"/>
          <w:szCs w:val="14"/>
          <w:lang w:val="en-GB"/>
        </w:rPr>
        <w:t xml:space="preserve">% </w:t>
      </w:r>
      <w:r>
        <w:rPr>
          <w:rFonts w:ascii="Verdana" w:hAnsi="Verdana" w:cs="Arial"/>
          <w:b/>
          <w:sz w:val="14"/>
          <w:szCs w:val="14"/>
          <w:lang w:val="en-GB"/>
        </w:rPr>
        <w:t>YoY</w:t>
      </w:r>
      <w:r w:rsidRPr="00432B78">
        <w:rPr>
          <w:rFonts w:ascii="Verdana" w:hAnsi="Verdana" w:cs="Arial"/>
          <w:b/>
          <w:sz w:val="14"/>
          <w:szCs w:val="14"/>
          <w:lang w:val="en-GB"/>
        </w:rPr>
        <w:t>)</w:t>
      </w:r>
    </w:p>
    <w:p w14:paraId="4AF13064" w14:textId="54D03DE9" w:rsidR="00265A33" w:rsidRPr="00265A33" w:rsidRDefault="00265A33" w:rsidP="00265A33">
      <w:pPr>
        <w:pStyle w:val="ListParagraph"/>
        <w:numPr>
          <w:ilvl w:val="0"/>
          <w:numId w:val="16"/>
        </w:numPr>
        <w:jc w:val="both"/>
        <w:rPr>
          <w:rFonts w:ascii="Verdana" w:hAnsi="Verdana" w:cs="Arial"/>
          <w:b/>
          <w:sz w:val="14"/>
          <w:szCs w:val="14"/>
          <w:lang w:val="en-GB"/>
        </w:rPr>
      </w:pPr>
      <w:r>
        <w:rPr>
          <w:rFonts w:ascii="Verdana" w:hAnsi="Verdana" w:cs="Arial"/>
          <w:b/>
          <w:sz w:val="14"/>
          <w:szCs w:val="14"/>
          <w:lang w:val="en-GB"/>
        </w:rPr>
        <w:t xml:space="preserve">PLN </w:t>
      </w:r>
      <w:r>
        <w:rPr>
          <w:rFonts w:ascii="Verdana" w:hAnsi="Verdana" w:cs="Arial"/>
          <w:b/>
          <w:sz w:val="14"/>
          <w:szCs w:val="14"/>
          <w:lang w:val="en-GB"/>
        </w:rPr>
        <w:t>204</w:t>
      </w:r>
      <w:r>
        <w:rPr>
          <w:rFonts w:ascii="Verdana" w:hAnsi="Verdana" w:cs="Arial"/>
          <w:b/>
          <w:sz w:val="14"/>
          <w:szCs w:val="14"/>
          <w:lang w:val="en-GB"/>
        </w:rPr>
        <w:t>.</w:t>
      </w:r>
      <w:r w:rsidRPr="00432B78">
        <w:rPr>
          <w:rFonts w:ascii="Verdana" w:hAnsi="Verdana" w:cs="Arial"/>
          <w:b/>
          <w:sz w:val="14"/>
          <w:szCs w:val="14"/>
          <w:lang w:val="en-GB"/>
        </w:rPr>
        <w:t xml:space="preserve">7 </w:t>
      </w:r>
      <w:r>
        <w:rPr>
          <w:rFonts w:ascii="Verdana" w:hAnsi="Verdana" w:cs="Arial"/>
          <w:b/>
          <w:sz w:val="14"/>
          <w:szCs w:val="14"/>
          <w:lang w:val="en-GB"/>
        </w:rPr>
        <w:t>mn</w:t>
      </w:r>
      <w:r w:rsidRPr="00432B78">
        <w:rPr>
          <w:rFonts w:ascii="Verdana" w:hAnsi="Verdana" w:cs="Arial"/>
          <w:b/>
          <w:sz w:val="14"/>
          <w:szCs w:val="14"/>
          <w:lang w:val="en-GB"/>
        </w:rPr>
        <w:t xml:space="preserve"> – </w:t>
      </w:r>
      <w:r>
        <w:rPr>
          <w:rFonts w:ascii="Verdana" w:hAnsi="Verdana" w:cs="Arial"/>
          <w:b/>
          <w:sz w:val="14"/>
          <w:szCs w:val="14"/>
          <w:lang w:val="en-GB"/>
        </w:rPr>
        <w:t xml:space="preserve">adjusted net profit </w:t>
      </w:r>
      <w:r w:rsidRPr="00432B78">
        <w:rPr>
          <w:rFonts w:ascii="Verdana" w:hAnsi="Verdana" w:cs="Arial"/>
          <w:b/>
          <w:sz w:val="14"/>
          <w:szCs w:val="14"/>
          <w:lang w:val="en-GB"/>
        </w:rPr>
        <w:t>(+</w:t>
      </w:r>
      <w:r>
        <w:rPr>
          <w:rFonts w:ascii="Verdana" w:hAnsi="Verdana" w:cs="Arial"/>
          <w:b/>
          <w:sz w:val="14"/>
          <w:szCs w:val="14"/>
          <w:lang w:val="en-GB"/>
        </w:rPr>
        <w:t>30.2</w:t>
      </w:r>
      <w:r w:rsidRPr="00432B78">
        <w:rPr>
          <w:rFonts w:ascii="Verdana" w:hAnsi="Verdana" w:cs="Arial"/>
          <w:b/>
          <w:sz w:val="14"/>
          <w:szCs w:val="14"/>
          <w:lang w:val="en-GB"/>
        </w:rPr>
        <w:t xml:space="preserve">% </w:t>
      </w:r>
      <w:r>
        <w:rPr>
          <w:rFonts w:ascii="Verdana" w:hAnsi="Verdana" w:cs="Arial"/>
          <w:b/>
          <w:sz w:val="14"/>
          <w:szCs w:val="14"/>
          <w:lang w:val="en-GB"/>
        </w:rPr>
        <w:t>YoY</w:t>
      </w:r>
      <w:r w:rsidRPr="00432B78">
        <w:rPr>
          <w:rFonts w:ascii="Verdana" w:hAnsi="Verdana" w:cs="Arial"/>
          <w:b/>
          <w:sz w:val="14"/>
          <w:szCs w:val="14"/>
          <w:lang w:val="en-GB"/>
        </w:rPr>
        <w:t>)</w:t>
      </w:r>
    </w:p>
    <w:p w14:paraId="6AC9D7D4" w14:textId="0B2B147D" w:rsidR="00265A33" w:rsidRPr="00CF4123" w:rsidRDefault="00265A33" w:rsidP="00960CCA">
      <w:pPr>
        <w:pStyle w:val="ListParagraph"/>
        <w:numPr>
          <w:ilvl w:val="0"/>
          <w:numId w:val="16"/>
        </w:numPr>
        <w:jc w:val="both"/>
        <w:rPr>
          <w:rFonts w:ascii="Verdana" w:hAnsi="Verdana" w:cs="Arial"/>
          <w:b/>
          <w:sz w:val="14"/>
          <w:szCs w:val="14"/>
          <w:lang w:val="en-GB"/>
        </w:rPr>
      </w:pPr>
      <w:r>
        <w:rPr>
          <w:rFonts w:ascii="Verdana" w:hAnsi="Verdana" w:cs="Arial"/>
          <w:b/>
          <w:sz w:val="14"/>
          <w:szCs w:val="14"/>
          <w:lang w:val="en-GB"/>
        </w:rPr>
        <w:t>66.1% - cost/income ratio</w:t>
      </w:r>
      <w:r w:rsidR="006B33E6">
        <w:rPr>
          <w:rFonts w:ascii="Verdana" w:hAnsi="Verdana" w:cs="Arial"/>
          <w:b/>
          <w:sz w:val="14"/>
          <w:szCs w:val="14"/>
          <w:lang w:val="en-GB"/>
        </w:rPr>
        <w:t xml:space="preserve"> </w:t>
      </w:r>
      <w:r>
        <w:rPr>
          <w:rFonts w:ascii="Verdana" w:hAnsi="Verdana" w:cs="Arial"/>
          <w:b/>
          <w:sz w:val="14"/>
          <w:szCs w:val="14"/>
          <w:lang w:val="en-GB"/>
        </w:rPr>
        <w:t>(C/I) (-5.3 p.p. YoY)</w:t>
      </w:r>
    </w:p>
    <w:p w14:paraId="3687F812" w14:textId="7DD03754" w:rsidR="00265A33" w:rsidRDefault="00265A33" w:rsidP="00960CCA">
      <w:pPr>
        <w:pStyle w:val="ListParagraph"/>
        <w:numPr>
          <w:ilvl w:val="0"/>
          <w:numId w:val="16"/>
        </w:numPr>
        <w:jc w:val="both"/>
        <w:rPr>
          <w:rFonts w:ascii="Verdana" w:hAnsi="Verdana" w:cs="Arial"/>
          <w:b/>
          <w:sz w:val="14"/>
          <w:szCs w:val="14"/>
          <w:lang w:val="en-GB"/>
        </w:rPr>
      </w:pPr>
      <w:r>
        <w:rPr>
          <w:rFonts w:ascii="Verdana" w:hAnsi="Verdana" w:cs="Arial"/>
          <w:b/>
          <w:sz w:val="14"/>
          <w:szCs w:val="14"/>
          <w:lang w:val="en-GB"/>
        </w:rPr>
        <w:t>17.8% - return on equity (ROE) (+3.8 p.p. YoY)</w:t>
      </w:r>
    </w:p>
    <w:p w14:paraId="6A9EA752" w14:textId="69E60329" w:rsidR="00960CCA" w:rsidRPr="00CF4123" w:rsidRDefault="00960CCA" w:rsidP="00960CCA">
      <w:pPr>
        <w:spacing w:after="0"/>
        <w:rPr>
          <w:rFonts w:ascii="Verdana" w:hAnsi="Verdana" w:cs="Arial"/>
          <w:b/>
          <w:sz w:val="18"/>
          <w:szCs w:val="18"/>
          <w:lang w:val="en-GB" w:eastAsia="pl-PL"/>
        </w:rPr>
      </w:pPr>
    </w:p>
    <w:p w14:paraId="57F4BEC6" w14:textId="13931C13" w:rsidR="00816006" w:rsidRPr="00CF4123" w:rsidRDefault="00816006" w:rsidP="00816006">
      <w:pPr>
        <w:spacing w:after="0"/>
        <w:rPr>
          <w:rFonts w:ascii="Verdana" w:hAnsi="Verdana" w:cs="Arial"/>
          <w:b/>
          <w:color w:val="5B9BD5" w:themeColor="accent1"/>
          <w:sz w:val="18"/>
          <w:szCs w:val="18"/>
          <w:lang w:val="en-GB" w:eastAsia="pl-PL"/>
        </w:rPr>
      </w:pPr>
      <w:r w:rsidRPr="00816006">
        <w:rPr>
          <w:rFonts w:ascii="Verdana" w:hAnsi="Verdana" w:cs="Arial"/>
          <w:b/>
          <w:color w:val="5B9BD5" w:themeColor="accent1"/>
          <w:sz w:val="18"/>
          <w:szCs w:val="18"/>
          <w:lang w:val="en-GB" w:eastAsia="pl-PL"/>
        </w:rPr>
        <w:t>Record turnover</w:t>
      </w:r>
      <w:r>
        <w:rPr>
          <w:rFonts w:ascii="Verdana" w:hAnsi="Verdana" w:cs="Arial"/>
          <w:b/>
          <w:color w:val="5B9BD5" w:themeColor="accent1"/>
          <w:sz w:val="18"/>
          <w:szCs w:val="18"/>
          <w:lang w:val="en-GB" w:eastAsia="pl-PL"/>
        </w:rPr>
        <w:t>, strongest</w:t>
      </w:r>
      <w:r w:rsidRPr="00816006">
        <w:rPr>
          <w:rFonts w:ascii="Verdana" w:hAnsi="Verdana" w:cs="Arial"/>
          <w:b/>
          <w:color w:val="5B9BD5" w:themeColor="accent1"/>
          <w:sz w:val="18"/>
          <w:szCs w:val="18"/>
          <w:lang w:val="en-GB" w:eastAsia="pl-PL"/>
        </w:rPr>
        <w:t xml:space="preserve"> investor activity</w:t>
      </w:r>
    </w:p>
    <w:p w14:paraId="6FA5EA44" w14:textId="77777777" w:rsidR="00034E33" w:rsidRPr="00CF4123" w:rsidRDefault="00034E33" w:rsidP="000E1C86">
      <w:pPr>
        <w:spacing w:after="0"/>
        <w:jc w:val="both"/>
        <w:rPr>
          <w:rFonts w:ascii="Verdana" w:hAnsi="Verdana" w:cs="Arial"/>
          <w:bCs/>
          <w:sz w:val="18"/>
          <w:szCs w:val="18"/>
          <w:lang w:val="en-GB" w:eastAsia="pl-PL"/>
        </w:rPr>
      </w:pPr>
    </w:p>
    <w:p w14:paraId="234A0EBC" w14:textId="15DEC320" w:rsidR="00816006" w:rsidRPr="00CF4123" w:rsidRDefault="00816006" w:rsidP="00816006">
      <w:pPr>
        <w:spacing w:after="0"/>
        <w:jc w:val="both"/>
        <w:rPr>
          <w:rFonts w:ascii="Verdana" w:hAnsi="Verdana" w:cs="Arial"/>
          <w:bCs/>
          <w:sz w:val="18"/>
          <w:szCs w:val="18"/>
          <w:lang w:val="en-GB" w:eastAsia="pl-PL"/>
        </w:rPr>
      </w:pPr>
      <w:r w:rsidRPr="00CF4123">
        <w:rPr>
          <w:rFonts w:ascii="Verdana" w:hAnsi="Verdana" w:cs="Arial"/>
          <w:bCs/>
          <w:sz w:val="18"/>
          <w:szCs w:val="18"/>
          <w:lang w:val="en-GB" w:eastAsia="pl-PL"/>
        </w:rPr>
        <w:t xml:space="preserve">The year 2025 </w:t>
      </w:r>
      <w:r>
        <w:rPr>
          <w:rFonts w:ascii="Verdana" w:hAnsi="Verdana" w:cs="Arial"/>
          <w:bCs/>
          <w:sz w:val="18"/>
          <w:szCs w:val="18"/>
          <w:lang w:val="en-GB" w:eastAsia="pl-PL"/>
        </w:rPr>
        <w:t>brought</w:t>
      </w:r>
      <w:r w:rsidRPr="00CF4123">
        <w:rPr>
          <w:rFonts w:ascii="Verdana" w:hAnsi="Verdana" w:cs="Arial"/>
          <w:bCs/>
          <w:sz w:val="18"/>
          <w:szCs w:val="18"/>
          <w:lang w:val="en-GB" w:eastAsia="pl-PL"/>
        </w:rPr>
        <w:t xml:space="preserve"> the </w:t>
      </w:r>
      <w:r>
        <w:rPr>
          <w:rFonts w:ascii="Verdana" w:hAnsi="Verdana" w:cs="Arial"/>
          <w:bCs/>
          <w:sz w:val="18"/>
          <w:szCs w:val="18"/>
          <w:lang w:val="en-GB" w:eastAsia="pl-PL"/>
        </w:rPr>
        <w:t>strongest</w:t>
      </w:r>
      <w:r w:rsidRPr="00CF4123">
        <w:rPr>
          <w:rFonts w:ascii="Verdana" w:hAnsi="Verdana" w:cs="Arial"/>
          <w:bCs/>
          <w:sz w:val="18"/>
          <w:szCs w:val="18"/>
          <w:lang w:val="en-GB" w:eastAsia="pl-PL"/>
        </w:rPr>
        <w:t xml:space="preserve"> investor activity on the Exchange’s equity market in its history. </w:t>
      </w:r>
      <w:r>
        <w:rPr>
          <w:rFonts w:ascii="Verdana" w:hAnsi="Verdana" w:cs="Arial"/>
          <w:bCs/>
          <w:sz w:val="18"/>
          <w:szCs w:val="18"/>
          <w:lang w:val="en-GB" w:eastAsia="pl-PL"/>
        </w:rPr>
        <w:t>GPW Main Market EOB</w:t>
      </w:r>
      <w:r w:rsidRPr="00CF4123">
        <w:rPr>
          <w:rFonts w:ascii="Verdana" w:hAnsi="Verdana" w:cs="Arial"/>
          <w:bCs/>
          <w:sz w:val="18"/>
          <w:szCs w:val="18"/>
          <w:lang w:val="en-GB" w:eastAsia="pl-PL"/>
        </w:rPr>
        <w:t xml:space="preserve"> turnover value </w:t>
      </w:r>
      <w:r>
        <w:rPr>
          <w:rFonts w:ascii="Verdana" w:hAnsi="Verdana" w:cs="Arial"/>
          <w:bCs/>
          <w:sz w:val="18"/>
          <w:szCs w:val="18"/>
          <w:lang w:val="en-GB" w:eastAsia="pl-PL"/>
        </w:rPr>
        <w:t>was</w:t>
      </w:r>
      <w:r w:rsidRPr="00CF4123">
        <w:rPr>
          <w:rFonts w:ascii="Verdana" w:hAnsi="Verdana" w:cs="Arial"/>
          <w:bCs/>
          <w:sz w:val="18"/>
          <w:szCs w:val="18"/>
          <w:lang w:val="en-GB" w:eastAsia="pl-PL"/>
        </w:rPr>
        <w:t xml:space="preserve"> PLN 470.3 billion, representing a year-on-year increase of 41.9%. The average daily turnover also rose by 41.9% to PLN 1.89 billion. </w:t>
      </w:r>
    </w:p>
    <w:p w14:paraId="34730A72" w14:textId="77777777" w:rsidR="000E1C86" w:rsidRPr="00CF4123" w:rsidRDefault="000E1C86" w:rsidP="000E1C86">
      <w:pPr>
        <w:spacing w:after="0"/>
        <w:jc w:val="both"/>
        <w:rPr>
          <w:rFonts w:ascii="Verdana" w:hAnsi="Verdana" w:cs="Arial"/>
          <w:bCs/>
          <w:sz w:val="18"/>
          <w:szCs w:val="18"/>
          <w:lang w:val="en-GB" w:eastAsia="pl-PL"/>
        </w:rPr>
      </w:pPr>
    </w:p>
    <w:p w14:paraId="45339600" w14:textId="02FF4179" w:rsidR="00816006" w:rsidRPr="00CF4123" w:rsidRDefault="00816006" w:rsidP="00816006">
      <w:pPr>
        <w:spacing w:after="0"/>
        <w:jc w:val="both"/>
        <w:rPr>
          <w:rFonts w:ascii="Verdana" w:hAnsi="Verdana" w:cs="Arial"/>
          <w:bCs/>
          <w:sz w:val="18"/>
          <w:szCs w:val="18"/>
          <w:lang w:val="en-GB" w:eastAsia="pl-PL"/>
        </w:rPr>
      </w:pPr>
      <w:r w:rsidRPr="00CF4123">
        <w:rPr>
          <w:rFonts w:ascii="Verdana" w:hAnsi="Verdana" w:cs="Arial"/>
          <w:bCs/>
          <w:sz w:val="18"/>
          <w:szCs w:val="18"/>
          <w:lang w:val="en-GB" w:eastAsia="pl-PL"/>
        </w:rPr>
        <w:t>This historic investor activity in 2025 was accompanied by record</w:t>
      </w:r>
      <w:r>
        <w:rPr>
          <w:rFonts w:ascii="Verdana" w:hAnsi="Verdana" w:cs="Arial"/>
          <w:bCs/>
          <w:sz w:val="18"/>
          <w:szCs w:val="18"/>
          <w:lang w:val="en-GB" w:eastAsia="pl-PL"/>
        </w:rPr>
        <w:t>-high exchange</w:t>
      </w:r>
      <w:r w:rsidRPr="00CF4123">
        <w:rPr>
          <w:rFonts w:ascii="Verdana" w:hAnsi="Verdana" w:cs="Arial"/>
          <w:bCs/>
          <w:sz w:val="18"/>
          <w:szCs w:val="18"/>
          <w:lang w:val="en-GB" w:eastAsia="pl-PL"/>
        </w:rPr>
        <w:t xml:space="preserve"> indices.</w:t>
      </w:r>
      <w:r w:rsidR="009F1D3E">
        <w:rPr>
          <w:rFonts w:ascii="Verdana" w:hAnsi="Verdana" w:cs="Arial"/>
          <w:bCs/>
          <w:sz w:val="18"/>
          <w:szCs w:val="18"/>
          <w:lang w:val="en-GB" w:eastAsia="pl-PL"/>
        </w:rPr>
        <w:t xml:space="preserve"> T</w:t>
      </w:r>
      <w:r w:rsidRPr="00CF4123">
        <w:rPr>
          <w:rFonts w:ascii="Verdana" w:hAnsi="Verdana" w:cs="Arial"/>
          <w:bCs/>
          <w:sz w:val="18"/>
          <w:szCs w:val="18"/>
          <w:lang w:val="en-GB" w:eastAsia="pl-PL"/>
        </w:rPr>
        <w:t xml:space="preserve">he WIG index </w:t>
      </w:r>
      <w:r>
        <w:rPr>
          <w:rFonts w:ascii="Verdana" w:hAnsi="Verdana" w:cs="Arial"/>
          <w:bCs/>
          <w:sz w:val="18"/>
          <w:szCs w:val="18"/>
          <w:lang w:val="en-GB" w:eastAsia="pl-PL"/>
        </w:rPr>
        <w:t>crossed the mark of</w:t>
      </w:r>
      <w:r w:rsidRPr="00CF4123">
        <w:rPr>
          <w:rFonts w:ascii="Verdana" w:hAnsi="Verdana" w:cs="Arial"/>
          <w:bCs/>
          <w:sz w:val="18"/>
          <w:szCs w:val="18"/>
          <w:lang w:val="en-GB" w:eastAsia="pl-PL"/>
        </w:rPr>
        <w:t xml:space="preserve"> 100,000 points for the first time in histor</w:t>
      </w:r>
      <w:r>
        <w:rPr>
          <w:rFonts w:ascii="Verdana" w:hAnsi="Verdana" w:cs="Arial"/>
          <w:bCs/>
          <w:sz w:val="18"/>
          <w:szCs w:val="18"/>
          <w:lang w:val="en-GB" w:eastAsia="pl-PL"/>
        </w:rPr>
        <w:t>y i</w:t>
      </w:r>
      <w:r w:rsidRPr="00CF4123">
        <w:rPr>
          <w:rFonts w:ascii="Verdana" w:hAnsi="Verdana" w:cs="Arial"/>
          <w:bCs/>
          <w:sz w:val="18"/>
          <w:szCs w:val="18"/>
          <w:lang w:val="en-GB" w:eastAsia="pl-PL"/>
        </w:rPr>
        <w:t xml:space="preserve">n April </w:t>
      </w:r>
      <w:r w:rsidR="009F1D3E">
        <w:rPr>
          <w:rFonts w:ascii="Verdana" w:hAnsi="Verdana" w:cs="Arial"/>
          <w:bCs/>
          <w:sz w:val="18"/>
          <w:szCs w:val="18"/>
          <w:lang w:val="en-GB" w:eastAsia="pl-PL"/>
        </w:rPr>
        <w:t xml:space="preserve">2025 </w:t>
      </w:r>
      <w:r w:rsidRPr="00CF4123">
        <w:rPr>
          <w:rFonts w:ascii="Verdana" w:hAnsi="Verdana" w:cs="Arial"/>
          <w:bCs/>
          <w:sz w:val="18"/>
          <w:szCs w:val="18"/>
          <w:lang w:val="en-GB" w:eastAsia="pl-PL"/>
        </w:rPr>
        <w:t>and</w:t>
      </w:r>
      <w:r w:rsidRPr="00816006">
        <w:rPr>
          <w:rFonts w:ascii="Verdana" w:hAnsi="Verdana" w:cs="Arial"/>
          <w:bCs/>
          <w:sz w:val="18"/>
          <w:szCs w:val="18"/>
          <w:lang w:val="en-GB" w:eastAsia="pl-PL"/>
        </w:rPr>
        <w:t xml:space="preserve"> </w:t>
      </w:r>
      <w:r>
        <w:rPr>
          <w:rFonts w:ascii="Verdana" w:hAnsi="Verdana" w:cs="Arial"/>
          <w:bCs/>
          <w:sz w:val="18"/>
          <w:szCs w:val="18"/>
          <w:lang w:val="en-GB" w:eastAsia="pl-PL"/>
        </w:rPr>
        <w:t>reached</w:t>
      </w:r>
      <w:r w:rsidRPr="00CF4123">
        <w:rPr>
          <w:rFonts w:ascii="Verdana" w:hAnsi="Verdana" w:cs="Arial"/>
          <w:bCs/>
          <w:sz w:val="18"/>
          <w:szCs w:val="18"/>
          <w:lang w:val="en-GB" w:eastAsia="pl-PL"/>
        </w:rPr>
        <w:t xml:space="preserve"> a new </w:t>
      </w:r>
      <w:r>
        <w:rPr>
          <w:rFonts w:ascii="Verdana" w:hAnsi="Verdana" w:cs="Arial"/>
          <w:bCs/>
          <w:sz w:val="18"/>
          <w:szCs w:val="18"/>
          <w:lang w:val="en-GB" w:eastAsia="pl-PL"/>
        </w:rPr>
        <w:t xml:space="preserve">all-time high </w:t>
      </w:r>
      <w:r w:rsidR="005B10EB">
        <w:rPr>
          <w:rFonts w:ascii="Verdana" w:hAnsi="Verdana" w:cs="Arial"/>
          <w:bCs/>
          <w:sz w:val="18"/>
          <w:szCs w:val="18"/>
          <w:lang w:val="en-GB" w:eastAsia="pl-PL"/>
        </w:rPr>
        <w:t xml:space="preserve">at the closing </w:t>
      </w:r>
      <w:r w:rsidRPr="00CF4123">
        <w:rPr>
          <w:rFonts w:ascii="Verdana" w:hAnsi="Verdana" w:cs="Arial"/>
          <w:bCs/>
          <w:sz w:val="18"/>
          <w:szCs w:val="18"/>
          <w:lang w:val="en-GB" w:eastAsia="pl-PL"/>
        </w:rPr>
        <w:t xml:space="preserve">of 127,740.99 points on 25 February 2026. </w:t>
      </w:r>
    </w:p>
    <w:p w14:paraId="7556C820" w14:textId="77777777" w:rsidR="000E1C86" w:rsidRPr="00CF4123" w:rsidRDefault="000E1C86" w:rsidP="000E1C86">
      <w:pPr>
        <w:spacing w:after="0"/>
        <w:jc w:val="both"/>
        <w:rPr>
          <w:rFonts w:ascii="Verdana" w:hAnsi="Verdana" w:cs="Arial"/>
          <w:bCs/>
          <w:sz w:val="18"/>
          <w:szCs w:val="18"/>
          <w:lang w:val="en-GB" w:eastAsia="pl-PL"/>
        </w:rPr>
      </w:pPr>
    </w:p>
    <w:p w14:paraId="6F29E0CE" w14:textId="2CE14E9E" w:rsidR="00816006" w:rsidRPr="00816006" w:rsidRDefault="00816006" w:rsidP="00816006">
      <w:pPr>
        <w:jc w:val="both"/>
        <w:rPr>
          <w:rFonts w:ascii="Verdana" w:hAnsi="Verdana" w:cs="Arial"/>
          <w:bCs/>
          <w:sz w:val="18"/>
          <w:szCs w:val="18"/>
          <w:lang w:val="en-GB" w:eastAsia="pl-PL"/>
        </w:rPr>
      </w:pPr>
      <w:r>
        <w:rPr>
          <w:rFonts w:ascii="Verdana" w:hAnsi="Verdana" w:cs="Arial"/>
          <w:bCs/>
          <w:sz w:val="18"/>
          <w:szCs w:val="18"/>
          <w:lang w:val="en-GB" w:eastAsia="pl-PL"/>
        </w:rPr>
        <w:t>“</w:t>
      </w:r>
      <w:r w:rsidRPr="00B07636">
        <w:rPr>
          <w:rFonts w:ascii="Verdana" w:hAnsi="Verdana" w:cs="Arial"/>
          <w:bCs/>
          <w:i/>
          <w:iCs/>
          <w:sz w:val="18"/>
          <w:szCs w:val="18"/>
          <w:lang w:val="en-GB" w:eastAsia="pl-PL"/>
        </w:rPr>
        <w:t xml:space="preserve">2025 was a record-breaking year for the Exchange. The broad-market index WIG </w:t>
      </w:r>
      <w:r w:rsidRPr="00B07636">
        <w:rPr>
          <w:rFonts w:ascii="Verdana" w:hAnsi="Verdana" w:cs="Arial"/>
          <w:bCs/>
          <w:i/>
          <w:iCs/>
          <w:sz w:val="18"/>
          <w:szCs w:val="18"/>
          <w:lang w:val="en-GB" w:eastAsia="pl-PL"/>
        </w:rPr>
        <w:t>gained</w:t>
      </w:r>
      <w:r w:rsidRPr="00B07636">
        <w:rPr>
          <w:rFonts w:ascii="Verdana" w:hAnsi="Verdana" w:cs="Arial"/>
          <w:bCs/>
          <w:i/>
          <w:iCs/>
          <w:sz w:val="18"/>
          <w:szCs w:val="18"/>
          <w:lang w:val="en-GB" w:eastAsia="pl-PL"/>
        </w:rPr>
        <w:t xml:space="preserve"> 47%, the highest increase this century. GPW Main Market </w:t>
      </w:r>
      <w:r w:rsidRPr="00B07636">
        <w:rPr>
          <w:rFonts w:ascii="Verdana" w:hAnsi="Verdana" w:cs="Arial"/>
          <w:bCs/>
          <w:i/>
          <w:iCs/>
          <w:sz w:val="18"/>
          <w:szCs w:val="18"/>
          <w:lang w:val="en-GB" w:eastAsia="pl-PL"/>
        </w:rPr>
        <w:t>equity</w:t>
      </w:r>
      <w:r w:rsidRPr="00B07636">
        <w:rPr>
          <w:rFonts w:ascii="Verdana" w:hAnsi="Verdana" w:cs="Arial"/>
          <w:bCs/>
          <w:i/>
          <w:iCs/>
          <w:sz w:val="18"/>
          <w:szCs w:val="18"/>
          <w:lang w:val="en-GB" w:eastAsia="pl-PL"/>
        </w:rPr>
        <w:t xml:space="preserve"> turnover value increased by 41.9% to a record PLN 470 billion, </w:t>
      </w:r>
      <w:r w:rsidRPr="00B07636">
        <w:rPr>
          <w:rFonts w:ascii="Verdana" w:hAnsi="Verdana" w:cs="Arial"/>
          <w:bCs/>
          <w:i/>
          <w:iCs/>
          <w:sz w:val="18"/>
          <w:szCs w:val="18"/>
          <w:lang w:val="en-GB" w:eastAsia="pl-PL"/>
        </w:rPr>
        <w:t>and</w:t>
      </w:r>
      <w:r w:rsidRPr="00B07636">
        <w:rPr>
          <w:rFonts w:ascii="Verdana" w:hAnsi="Verdana" w:cs="Arial"/>
          <w:bCs/>
          <w:i/>
          <w:iCs/>
          <w:sz w:val="18"/>
          <w:szCs w:val="18"/>
          <w:lang w:val="en-GB" w:eastAsia="pl-PL"/>
        </w:rPr>
        <w:t xml:space="preserve"> the value of capital raised by companies and their owners on the stock market exceeded PLN 20 billion. All this </w:t>
      </w:r>
      <w:r w:rsidR="00CE2D3C" w:rsidRPr="00B07636">
        <w:rPr>
          <w:rFonts w:ascii="Verdana" w:hAnsi="Verdana" w:cs="Arial"/>
          <w:bCs/>
          <w:i/>
          <w:iCs/>
          <w:sz w:val="18"/>
          <w:szCs w:val="18"/>
          <w:lang w:val="en-GB" w:eastAsia="pl-PL"/>
        </w:rPr>
        <w:t>was driven by</w:t>
      </w:r>
      <w:r w:rsidRPr="00B07636">
        <w:rPr>
          <w:rFonts w:ascii="Verdana" w:hAnsi="Verdana" w:cs="Arial"/>
          <w:bCs/>
          <w:i/>
          <w:iCs/>
          <w:sz w:val="18"/>
          <w:szCs w:val="18"/>
          <w:lang w:val="en-GB" w:eastAsia="pl-PL"/>
        </w:rPr>
        <w:t xml:space="preserve"> increased interest in </w:t>
      </w:r>
      <w:r w:rsidR="00CE2D3C" w:rsidRPr="00B07636">
        <w:rPr>
          <w:rFonts w:ascii="Verdana" w:hAnsi="Verdana" w:cs="Arial"/>
          <w:bCs/>
          <w:i/>
          <w:iCs/>
          <w:sz w:val="18"/>
          <w:szCs w:val="18"/>
          <w:lang w:val="en-GB" w:eastAsia="pl-PL"/>
        </w:rPr>
        <w:t>GPW</w:t>
      </w:r>
      <w:r w:rsidRPr="00B07636">
        <w:rPr>
          <w:rFonts w:ascii="Verdana" w:hAnsi="Verdana" w:cs="Arial"/>
          <w:bCs/>
          <w:i/>
          <w:iCs/>
          <w:sz w:val="18"/>
          <w:szCs w:val="18"/>
          <w:lang w:val="en-GB" w:eastAsia="pl-PL"/>
        </w:rPr>
        <w:t xml:space="preserve">, both from global institutions and a rapidly growing base of domestic investors. The number of brokerage accounts in Poland increased by 565,000 last year, reaching over 2.5 million. Attracting domestic investors to the Exchange is </w:t>
      </w:r>
      <w:r w:rsidR="00CE2D3C" w:rsidRPr="00B07636">
        <w:rPr>
          <w:rFonts w:ascii="Verdana" w:hAnsi="Verdana" w:cs="Arial"/>
          <w:bCs/>
          <w:i/>
          <w:iCs/>
          <w:sz w:val="18"/>
          <w:szCs w:val="18"/>
          <w:lang w:val="en-GB" w:eastAsia="pl-PL"/>
        </w:rPr>
        <w:t>a top</w:t>
      </w:r>
      <w:r w:rsidRPr="00B07636">
        <w:rPr>
          <w:rFonts w:ascii="Verdana" w:hAnsi="Verdana" w:cs="Arial"/>
          <w:bCs/>
          <w:i/>
          <w:iCs/>
          <w:sz w:val="18"/>
          <w:szCs w:val="18"/>
          <w:lang w:val="en-GB" w:eastAsia="pl-PL"/>
        </w:rPr>
        <w:t xml:space="preserve"> priority </w:t>
      </w:r>
      <w:r w:rsidR="00CE2D3C" w:rsidRPr="00B07636">
        <w:rPr>
          <w:rFonts w:ascii="Verdana" w:hAnsi="Verdana" w:cs="Arial"/>
          <w:bCs/>
          <w:i/>
          <w:iCs/>
          <w:sz w:val="18"/>
          <w:szCs w:val="18"/>
          <w:lang w:val="en-GB" w:eastAsia="pl-PL"/>
        </w:rPr>
        <w:t>under</w:t>
      </w:r>
      <w:r w:rsidRPr="00B07636">
        <w:rPr>
          <w:rFonts w:ascii="Verdana" w:hAnsi="Verdana" w:cs="Arial"/>
          <w:bCs/>
          <w:i/>
          <w:iCs/>
          <w:sz w:val="18"/>
          <w:szCs w:val="18"/>
          <w:lang w:val="en-GB" w:eastAsia="pl-PL"/>
        </w:rPr>
        <w:t xml:space="preserve"> our long-term strategy </w:t>
      </w:r>
      <w:r w:rsidR="00B07636" w:rsidRPr="00B07636">
        <w:rPr>
          <w:rFonts w:ascii="Verdana" w:hAnsi="Verdana" w:cs="Arial"/>
          <w:bCs/>
          <w:i/>
          <w:iCs/>
          <w:sz w:val="18"/>
          <w:szCs w:val="18"/>
          <w:lang w:val="en-GB" w:eastAsia="pl-PL"/>
        </w:rPr>
        <w:t>of</w:t>
      </w:r>
      <w:r w:rsidRPr="00B07636">
        <w:rPr>
          <w:rFonts w:ascii="Verdana" w:hAnsi="Verdana" w:cs="Arial"/>
          <w:bCs/>
          <w:i/>
          <w:iCs/>
          <w:sz w:val="18"/>
          <w:szCs w:val="18"/>
          <w:lang w:val="en-GB" w:eastAsia="pl-PL"/>
        </w:rPr>
        <w:t xml:space="preserve"> development and strengthening </w:t>
      </w:r>
      <w:r w:rsidR="00E52E6A" w:rsidRPr="00B07636">
        <w:rPr>
          <w:rFonts w:ascii="Verdana" w:hAnsi="Verdana" w:cs="Arial"/>
          <w:bCs/>
          <w:i/>
          <w:iCs/>
          <w:sz w:val="18"/>
          <w:szCs w:val="18"/>
          <w:lang w:val="en-GB" w:eastAsia="pl-PL"/>
        </w:rPr>
        <w:t xml:space="preserve">the </w:t>
      </w:r>
      <w:r w:rsidR="00E52E6A" w:rsidRPr="00B07636">
        <w:rPr>
          <w:rFonts w:ascii="Verdana" w:hAnsi="Verdana" w:cs="Arial"/>
          <w:bCs/>
          <w:i/>
          <w:iCs/>
          <w:sz w:val="18"/>
          <w:szCs w:val="18"/>
          <w:lang w:val="en-GB" w:eastAsia="pl-PL"/>
        </w:rPr>
        <w:t xml:space="preserve">role </w:t>
      </w:r>
      <w:r w:rsidR="00E52E6A" w:rsidRPr="00B07636">
        <w:rPr>
          <w:rFonts w:ascii="Verdana" w:hAnsi="Verdana" w:cs="Arial"/>
          <w:bCs/>
          <w:i/>
          <w:iCs/>
          <w:sz w:val="18"/>
          <w:szCs w:val="18"/>
          <w:lang w:val="en-GB" w:eastAsia="pl-PL"/>
        </w:rPr>
        <w:t xml:space="preserve">of </w:t>
      </w:r>
      <w:r w:rsidRPr="00B07636">
        <w:rPr>
          <w:rFonts w:ascii="Verdana" w:hAnsi="Verdana" w:cs="Arial"/>
          <w:bCs/>
          <w:i/>
          <w:iCs/>
          <w:sz w:val="18"/>
          <w:szCs w:val="18"/>
          <w:lang w:val="en-GB" w:eastAsia="pl-PL"/>
        </w:rPr>
        <w:t xml:space="preserve">Warsaw as the region’s strategic financial </w:t>
      </w:r>
      <w:r w:rsidR="00E52E6A" w:rsidRPr="00B07636">
        <w:rPr>
          <w:rFonts w:ascii="Verdana" w:hAnsi="Verdana" w:cs="Arial"/>
          <w:bCs/>
          <w:i/>
          <w:iCs/>
          <w:sz w:val="18"/>
          <w:szCs w:val="18"/>
          <w:lang w:val="en-GB" w:eastAsia="pl-PL"/>
        </w:rPr>
        <w:t>hub</w:t>
      </w:r>
      <w:r w:rsidRPr="00B07636">
        <w:rPr>
          <w:rFonts w:ascii="Verdana" w:hAnsi="Verdana" w:cs="Arial"/>
          <w:bCs/>
          <w:i/>
          <w:iCs/>
          <w:sz w:val="18"/>
          <w:szCs w:val="18"/>
          <w:lang w:val="en-GB" w:eastAsia="pl-PL"/>
        </w:rPr>
        <w:t>,</w:t>
      </w:r>
      <w:r w:rsidRPr="00CF4123">
        <w:rPr>
          <w:rFonts w:ascii="Verdana" w:hAnsi="Verdana" w:cs="Arial"/>
          <w:bCs/>
          <w:sz w:val="18"/>
          <w:szCs w:val="18"/>
          <w:lang w:val="en-GB" w:eastAsia="pl-PL"/>
        </w:rPr>
        <w:t xml:space="preserve">” </w:t>
      </w:r>
      <w:r w:rsidR="00E52E6A">
        <w:rPr>
          <w:rFonts w:ascii="Verdana" w:hAnsi="Verdana" w:cs="Arial"/>
          <w:bCs/>
          <w:sz w:val="18"/>
          <w:szCs w:val="18"/>
          <w:lang w:val="en-GB" w:eastAsia="pl-PL"/>
        </w:rPr>
        <w:t>said</w:t>
      </w:r>
      <w:r w:rsidRPr="00CF4123">
        <w:rPr>
          <w:rFonts w:ascii="Verdana" w:hAnsi="Verdana" w:cs="Arial"/>
          <w:bCs/>
          <w:sz w:val="18"/>
          <w:szCs w:val="18"/>
          <w:lang w:val="en-GB" w:eastAsia="pl-PL"/>
        </w:rPr>
        <w:t xml:space="preserve"> Tomasz Bardziłowski, </w:t>
      </w:r>
      <w:r w:rsidR="00E52E6A">
        <w:rPr>
          <w:rFonts w:ascii="Verdana" w:hAnsi="Verdana" w:cs="Arial"/>
          <w:bCs/>
          <w:sz w:val="18"/>
          <w:szCs w:val="18"/>
          <w:lang w:val="en-GB" w:eastAsia="pl-PL"/>
        </w:rPr>
        <w:t>President</w:t>
      </w:r>
      <w:r w:rsidRPr="00CF4123">
        <w:rPr>
          <w:rFonts w:ascii="Verdana" w:hAnsi="Verdana" w:cs="Arial"/>
          <w:bCs/>
          <w:sz w:val="18"/>
          <w:szCs w:val="18"/>
          <w:lang w:val="en-GB" w:eastAsia="pl-PL"/>
        </w:rPr>
        <w:t xml:space="preserve"> of the Management Board of the Warsaw Stock Exchange.</w:t>
      </w:r>
    </w:p>
    <w:p w14:paraId="0C86DBC6" w14:textId="7D0CF7ED" w:rsidR="00E52E6A" w:rsidRPr="00CF4123" w:rsidRDefault="00E52E6A" w:rsidP="00E52E6A">
      <w:pPr>
        <w:spacing w:after="0"/>
        <w:jc w:val="both"/>
        <w:rPr>
          <w:rFonts w:ascii="Verdana" w:hAnsi="Verdana" w:cs="Arial"/>
          <w:bCs/>
          <w:sz w:val="18"/>
          <w:szCs w:val="18"/>
          <w:lang w:val="en-GB" w:eastAsia="pl-PL"/>
        </w:rPr>
      </w:pPr>
      <w:r w:rsidRPr="00CF4123">
        <w:rPr>
          <w:rFonts w:ascii="Verdana" w:hAnsi="Verdana" w:cs="Arial"/>
          <w:bCs/>
          <w:sz w:val="18"/>
          <w:szCs w:val="18"/>
          <w:lang w:val="en-GB" w:eastAsia="pl-PL"/>
        </w:rPr>
        <w:t xml:space="preserve">This dynamic activity continued into early 2026. </w:t>
      </w:r>
      <w:r>
        <w:rPr>
          <w:rFonts w:ascii="Verdana" w:hAnsi="Verdana" w:cs="Arial"/>
          <w:bCs/>
          <w:sz w:val="18"/>
          <w:szCs w:val="18"/>
          <w:lang w:val="en-GB" w:eastAsia="pl-PL"/>
        </w:rPr>
        <w:t>GPW Main Market EOB equity</w:t>
      </w:r>
      <w:r w:rsidRPr="00CF4123">
        <w:rPr>
          <w:rFonts w:ascii="Verdana" w:hAnsi="Verdana" w:cs="Arial"/>
          <w:bCs/>
          <w:sz w:val="18"/>
          <w:szCs w:val="18"/>
          <w:lang w:val="en-GB" w:eastAsia="pl-PL"/>
        </w:rPr>
        <w:t xml:space="preserve"> turnover exceeded PLN 50 billion for the first time in history, reaching PLN 51.2 billion</w:t>
      </w:r>
      <w:r w:rsidR="00AC4F9E" w:rsidRPr="00AC4F9E">
        <w:rPr>
          <w:rFonts w:ascii="Verdana" w:hAnsi="Verdana" w:cs="Arial"/>
          <w:bCs/>
          <w:sz w:val="18"/>
          <w:szCs w:val="18"/>
          <w:lang w:val="en-GB" w:eastAsia="pl-PL"/>
        </w:rPr>
        <w:t xml:space="preserve"> </w:t>
      </w:r>
      <w:r w:rsidR="00AC4F9E">
        <w:rPr>
          <w:rFonts w:ascii="Verdana" w:hAnsi="Verdana" w:cs="Arial"/>
          <w:bCs/>
          <w:sz w:val="18"/>
          <w:szCs w:val="18"/>
          <w:lang w:val="en-GB" w:eastAsia="pl-PL"/>
        </w:rPr>
        <w:t>i</w:t>
      </w:r>
      <w:r w:rsidR="00AC4F9E" w:rsidRPr="00CF4123">
        <w:rPr>
          <w:rFonts w:ascii="Verdana" w:hAnsi="Verdana" w:cs="Arial"/>
          <w:bCs/>
          <w:sz w:val="18"/>
          <w:szCs w:val="18"/>
          <w:lang w:val="en-GB" w:eastAsia="pl-PL"/>
        </w:rPr>
        <w:t>n January</w:t>
      </w:r>
      <w:r w:rsidR="00510283">
        <w:rPr>
          <w:rFonts w:ascii="Verdana" w:hAnsi="Verdana" w:cs="Arial"/>
          <w:bCs/>
          <w:sz w:val="18"/>
          <w:szCs w:val="18"/>
          <w:lang w:val="en-GB" w:eastAsia="pl-PL"/>
        </w:rPr>
        <w:t>, and</w:t>
      </w:r>
      <w:r w:rsidRPr="00CF4123">
        <w:rPr>
          <w:rFonts w:ascii="Verdana" w:hAnsi="Verdana" w:cs="Arial"/>
          <w:bCs/>
          <w:sz w:val="18"/>
          <w:szCs w:val="18"/>
          <w:lang w:val="en-GB" w:eastAsia="pl-PL"/>
        </w:rPr>
        <w:t xml:space="preserve"> rose by 51.8% year-on-year</w:t>
      </w:r>
      <w:r w:rsidR="00AC4F9E" w:rsidRPr="00AC4F9E">
        <w:rPr>
          <w:rFonts w:ascii="Verdana" w:hAnsi="Verdana" w:cs="Arial"/>
          <w:bCs/>
          <w:sz w:val="18"/>
          <w:szCs w:val="18"/>
          <w:lang w:val="en-GB" w:eastAsia="pl-PL"/>
        </w:rPr>
        <w:t xml:space="preserve"> </w:t>
      </w:r>
      <w:r w:rsidR="00AC4F9E" w:rsidRPr="00CF4123">
        <w:rPr>
          <w:rFonts w:ascii="Verdana" w:hAnsi="Verdana" w:cs="Arial"/>
          <w:bCs/>
          <w:sz w:val="18"/>
          <w:szCs w:val="18"/>
          <w:lang w:val="en-GB" w:eastAsia="pl-PL"/>
        </w:rPr>
        <w:t>in January–February</w:t>
      </w:r>
      <w:r w:rsidRPr="00CF4123">
        <w:rPr>
          <w:rFonts w:ascii="Verdana" w:hAnsi="Verdana" w:cs="Arial"/>
          <w:bCs/>
          <w:sz w:val="18"/>
          <w:szCs w:val="18"/>
          <w:lang w:val="en-GB" w:eastAsia="pl-PL"/>
        </w:rPr>
        <w:t xml:space="preserve">, reaching PLN 100.1 billion. The average daily </w:t>
      </w:r>
      <w:r w:rsidR="00F225B6">
        <w:rPr>
          <w:rFonts w:ascii="Verdana" w:hAnsi="Verdana" w:cs="Arial"/>
          <w:bCs/>
          <w:sz w:val="18"/>
          <w:szCs w:val="18"/>
          <w:lang w:val="en-GB" w:eastAsia="pl-PL"/>
        </w:rPr>
        <w:t xml:space="preserve">equity turnover </w:t>
      </w:r>
      <w:r w:rsidRPr="00CF4123">
        <w:rPr>
          <w:rFonts w:ascii="Verdana" w:hAnsi="Verdana" w:cs="Arial"/>
          <w:bCs/>
          <w:sz w:val="18"/>
          <w:szCs w:val="18"/>
          <w:lang w:val="en-GB" w:eastAsia="pl-PL"/>
        </w:rPr>
        <w:t>value stood at PLN 2.5 billion, confirming sustained high liquidity and growing investor activity amid increased volatility in global markets.</w:t>
      </w:r>
    </w:p>
    <w:p w14:paraId="597264D4" w14:textId="77777777" w:rsidR="000E1C86" w:rsidRPr="00CF4123" w:rsidRDefault="000E1C86" w:rsidP="000E1C86">
      <w:pPr>
        <w:spacing w:after="0"/>
        <w:jc w:val="both"/>
        <w:rPr>
          <w:rFonts w:ascii="Verdana" w:hAnsi="Verdana" w:cs="Arial"/>
          <w:bCs/>
          <w:sz w:val="18"/>
          <w:szCs w:val="18"/>
          <w:lang w:val="en-GB" w:eastAsia="pl-PL"/>
        </w:rPr>
      </w:pPr>
    </w:p>
    <w:p w14:paraId="4C536EDA" w14:textId="4D339921" w:rsidR="00CF4123" w:rsidRPr="00CF4123" w:rsidRDefault="00F225B6" w:rsidP="00CF4123">
      <w:pPr>
        <w:spacing w:after="0"/>
        <w:jc w:val="both"/>
        <w:rPr>
          <w:rFonts w:ascii="Verdana" w:hAnsi="Verdana" w:cs="Arial"/>
          <w:bCs/>
          <w:sz w:val="18"/>
          <w:szCs w:val="18"/>
          <w:lang w:val="en-GB" w:eastAsia="pl-PL"/>
        </w:rPr>
      </w:pPr>
      <w:r>
        <w:rPr>
          <w:rFonts w:ascii="Verdana" w:hAnsi="Verdana" w:cs="Arial"/>
          <w:bCs/>
          <w:sz w:val="18"/>
          <w:szCs w:val="18"/>
          <w:lang w:val="en-GB" w:eastAsia="pl-PL"/>
        </w:rPr>
        <w:t>T</w:t>
      </w:r>
      <w:r w:rsidR="00CF4123" w:rsidRPr="00CF4123">
        <w:rPr>
          <w:rFonts w:ascii="Verdana" w:hAnsi="Verdana" w:cs="Arial"/>
          <w:bCs/>
          <w:sz w:val="18"/>
          <w:szCs w:val="18"/>
          <w:lang w:val="en-GB" w:eastAsia="pl-PL"/>
        </w:rPr>
        <w:t>he share price of the Warsaw Stock Exchange</w:t>
      </w:r>
      <w:r>
        <w:rPr>
          <w:rFonts w:ascii="Verdana" w:hAnsi="Verdana" w:cs="Arial"/>
          <w:bCs/>
          <w:sz w:val="18"/>
          <w:szCs w:val="18"/>
          <w:lang w:val="en-GB" w:eastAsia="pl-PL"/>
        </w:rPr>
        <w:t xml:space="preserve"> also </w:t>
      </w:r>
      <w:r w:rsidR="00787E49">
        <w:rPr>
          <w:rFonts w:ascii="Verdana" w:hAnsi="Verdana" w:cs="Arial"/>
          <w:bCs/>
          <w:sz w:val="18"/>
          <w:szCs w:val="18"/>
          <w:lang w:val="en-GB" w:eastAsia="pl-PL"/>
        </w:rPr>
        <w:t>broke new records</w:t>
      </w:r>
      <w:r w:rsidR="00CF4123" w:rsidRPr="00CF4123">
        <w:rPr>
          <w:rFonts w:ascii="Verdana" w:hAnsi="Verdana" w:cs="Arial"/>
          <w:bCs/>
          <w:sz w:val="18"/>
          <w:szCs w:val="18"/>
          <w:lang w:val="en-GB" w:eastAsia="pl-PL"/>
        </w:rPr>
        <w:t>.</w:t>
      </w:r>
      <w:r w:rsidR="00787E49">
        <w:rPr>
          <w:rFonts w:ascii="Verdana" w:hAnsi="Verdana" w:cs="Arial"/>
          <w:bCs/>
          <w:sz w:val="18"/>
          <w:szCs w:val="18"/>
          <w:lang w:val="en-GB" w:eastAsia="pl-PL"/>
        </w:rPr>
        <w:t xml:space="preserve"> T</w:t>
      </w:r>
      <w:r w:rsidR="00CF4123" w:rsidRPr="00CF4123">
        <w:rPr>
          <w:rFonts w:ascii="Verdana" w:hAnsi="Verdana" w:cs="Arial"/>
          <w:bCs/>
          <w:sz w:val="18"/>
          <w:szCs w:val="18"/>
          <w:lang w:val="en-GB" w:eastAsia="pl-PL"/>
        </w:rPr>
        <w:t xml:space="preserve">he </w:t>
      </w:r>
      <w:r w:rsidR="00787E49">
        <w:rPr>
          <w:rFonts w:ascii="Verdana" w:hAnsi="Verdana" w:cs="Arial"/>
          <w:bCs/>
          <w:sz w:val="18"/>
          <w:szCs w:val="18"/>
          <w:lang w:val="en-GB" w:eastAsia="pl-PL"/>
        </w:rPr>
        <w:t>GPW</w:t>
      </w:r>
      <w:r w:rsidR="00CF4123" w:rsidRPr="00CF4123">
        <w:rPr>
          <w:rFonts w:ascii="Verdana" w:hAnsi="Verdana" w:cs="Arial"/>
          <w:bCs/>
          <w:sz w:val="18"/>
          <w:szCs w:val="18"/>
          <w:lang w:val="en-GB" w:eastAsia="pl-PL"/>
        </w:rPr>
        <w:t xml:space="preserve"> share price closed at PLN 81.15</w:t>
      </w:r>
      <w:r w:rsidR="00787E49" w:rsidRPr="00787E49">
        <w:rPr>
          <w:rFonts w:ascii="Verdana" w:hAnsi="Verdana" w:cs="Arial"/>
          <w:bCs/>
          <w:sz w:val="18"/>
          <w:szCs w:val="18"/>
          <w:lang w:val="en-GB" w:eastAsia="pl-PL"/>
        </w:rPr>
        <w:t xml:space="preserve"> </w:t>
      </w:r>
      <w:r w:rsidR="00787E49">
        <w:rPr>
          <w:rFonts w:ascii="Verdana" w:hAnsi="Verdana" w:cs="Arial"/>
          <w:bCs/>
          <w:sz w:val="18"/>
          <w:szCs w:val="18"/>
          <w:lang w:val="en-GB" w:eastAsia="pl-PL"/>
        </w:rPr>
        <w:t>o</w:t>
      </w:r>
      <w:r w:rsidR="00787E49" w:rsidRPr="00CF4123">
        <w:rPr>
          <w:rFonts w:ascii="Verdana" w:hAnsi="Verdana" w:cs="Arial"/>
          <w:bCs/>
          <w:sz w:val="18"/>
          <w:szCs w:val="18"/>
          <w:lang w:val="en-GB" w:eastAsia="pl-PL"/>
        </w:rPr>
        <w:t>n 27 February 2026</w:t>
      </w:r>
      <w:r w:rsidR="00CF4123" w:rsidRPr="00CF4123">
        <w:rPr>
          <w:rFonts w:ascii="Verdana" w:hAnsi="Verdana" w:cs="Arial"/>
          <w:bCs/>
          <w:sz w:val="18"/>
          <w:szCs w:val="18"/>
          <w:lang w:val="en-GB" w:eastAsia="pl-PL"/>
        </w:rPr>
        <w:t>, the highest in the company’s trading history.</w:t>
      </w:r>
    </w:p>
    <w:p w14:paraId="64928C32" w14:textId="77777777" w:rsidR="000E1C86" w:rsidRPr="00CF4123" w:rsidRDefault="000E1C86" w:rsidP="000E1C86">
      <w:pPr>
        <w:spacing w:after="0"/>
        <w:jc w:val="both"/>
        <w:rPr>
          <w:rFonts w:ascii="Verdana" w:hAnsi="Verdana" w:cs="Arial"/>
          <w:bCs/>
          <w:sz w:val="18"/>
          <w:szCs w:val="18"/>
          <w:lang w:val="en-GB" w:eastAsia="pl-PL"/>
        </w:rPr>
      </w:pPr>
    </w:p>
    <w:p w14:paraId="391B3349" w14:textId="0600B0A6" w:rsidR="001346D9" w:rsidRPr="00CF4123" w:rsidRDefault="008F37BC" w:rsidP="000E1C86">
      <w:pPr>
        <w:spacing w:after="0"/>
        <w:rPr>
          <w:rFonts w:ascii="Verdana" w:hAnsi="Verdana" w:cs="Arial"/>
          <w:b/>
          <w:color w:val="5B9BD5" w:themeColor="accent1"/>
          <w:sz w:val="18"/>
          <w:szCs w:val="18"/>
          <w:lang w:val="en-GB" w:eastAsia="pl-PL"/>
        </w:rPr>
      </w:pPr>
      <w:r w:rsidRPr="00CF4123">
        <w:rPr>
          <w:rFonts w:ascii="Verdana" w:hAnsi="Verdana" w:cs="Arial"/>
          <w:b/>
          <w:color w:val="5B9BD5" w:themeColor="accent1"/>
          <w:sz w:val="18"/>
          <w:szCs w:val="18"/>
          <w:lang w:val="en-GB" w:eastAsia="pl-PL"/>
        </w:rPr>
        <w:t>GPW</w:t>
      </w:r>
      <w:r w:rsidR="00787E49">
        <w:rPr>
          <w:rFonts w:ascii="Verdana" w:hAnsi="Verdana" w:cs="Arial"/>
          <w:b/>
          <w:color w:val="5B9BD5" w:themeColor="accent1"/>
          <w:sz w:val="18"/>
          <w:szCs w:val="18"/>
          <w:lang w:val="en-GB" w:eastAsia="pl-PL"/>
        </w:rPr>
        <w:t xml:space="preserve"> Group financial results</w:t>
      </w:r>
    </w:p>
    <w:p w14:paraId="13AA9381" w14:textId="77777777" w:rsidR="000E1C86" w:rsidRPr="00CF4123" w:rsidRDefault="000E1C86" w:rsidP="000E1C86">
      <w:pPr>
        <w:spacing w:after="0"/>
        <w:jc w:val="both"/>
        <w:rPr>
          <w:rFonts w:ascii="Verdana" w:hAnsi="Verdana" w:cs="Arial"/>
          <w:bCs/>
          <w:sz w:val="18"/>
          <w:szCs w:val="18"/>
          <w:lang w:val="en-GB" w:eastAsia="pl-PL"/>
        </w:rPr>
      </w:pPr>
    </w:p>
    <w:p w14:paraId="0BF6182E" w14:textId="25AC9594" w:rsidR="00787E49" w:rsidRPr="00CF4123" w:rsidRDefault="00787E49" w:rsidP="00787E49">
      <w:pPr>
        <w:spacing w:after="0"/>
        <w:jc w:val="both"/>
        <w:rPr>
          <w:rFonts w:ascii="Verdana" w:hAnsi="Verdana" w:cs="Arial"/>
          <w:bCs/>
          <w:sz w:val="18"/>
          <w:szCs w:val="18"/>
          <w:lang w:val="en-GB" w:eastAsia="pl-PL"/>
        </w:rPr>
      </w:pPr>
      <w:r w:rsidRPr="00CF4123">
        <w:rPr>
          <w:rFonts w:ascii="Verdana" w:hAnsi="Verdana" w:cs="Arial"/>
          <w:bCs/>
          <w:sz w:val="18"/>
          <w:szCs w:val="18"/>
          <w:lang w:val="en-GB" w:eastAsia="pl-PL"/>
        </w:rPr>
        <w:t>The Warsaw Stock Exchange Group’s revenue in 2025 amounted to PLN 551.9 million, representing an increase of 18.7% year</w:t>
      </w:r>
      <w:r>
        <w:rPr>
          <w:rFonts w:ascii="Verdana" w:hAnsi="Verdana" w:cs="Arial"/>
          <w:bCs/>
          <w:sz w:val="18"/>
          <w:szCs w:val="18"/>
          <w:lang w:val="en-GB" w:eastAsia="pl-PL"/>
        </w:rPr>
        <w:t xml:space="preserve"> </w:t>
      </w:r>
      <w:r w:rsidRPr="00CF4123">
        <w:rPr>
          <w:rFonts w:ascii="Verdana" w:hAnsi="Verdana" w:cs="Arial"/>
          <w:bCs/>
          <w:sz w:val="18"/>
          <w:szCs w:val="18"/>
          <w:lang w:val="en-GB" w:eastAsia="pl-PL"/>
        </w:rPr>
        <w:t>on</w:t>
      </w:r>
      <w:r>
        <w:rPr>
          <w:rFonts w:ascii="Verdana" w:hAnsi="Verdana" w:cs="Arial"/>
          <w:bCs/>
          <w:sz w:val="18"/>
          <w:szCs w:val="18"/>
          <w:lang w:val="en-GB" w:eastAsia="pl-PL"/>
        </w:rPr>
        <w:t xml:space="preserve"> </w:t>
      </w:r>
      <w:r w:rsidRPr="00CF4123">
        <w:rPr>
          <w:rFonts w:ascii="Verdana" w:hAnsi="Verdana" w:cs="Arial"/>
          <w:bCs/>
          <w:sz w:val="18"/>
          <w:szCs w:val="18"/>
          <w:lang w:val="en-GB" w:eastAsia="pl-PL"/>
        </w:rPr>
        <w:t xml:space="preserve">year. </w:t>
      </w:r>
      <w:r w:rsidR="00756F79">
        <w:rPr>
          <w:rFonts w:ascii="Verdana" w:hAnsi="Verdana" w:cs="Arial"/>
          <w:bCs/>
          <w:sz w:val="18"/>
          <w:szCs w:val="18"/>
          <w:lang w:val="en-GB" w:eastAsia="pl-PL"/>
        </w:rPr>
        <w:t>The revenue mix</w:t>
      </w:r>
      <w:r w:rsidRPr="00CF4123">
        <w:rPr>
          <w:rFonts w:ascii="Verdana" w:hAnsi="Verdana" w:cs="Arial"/>
          <w:bCs/>
          <w:sz w:val="18"/>
          <w:szCs w:val="18"/>
          <w:lang w:val="en-GB" w:eastAsia="pl-PL"/>
        </w:rPr>
        <w:t xml:space="preserve"> reflected increased activity on the equity market </w:t>
      </w:r>
      <w:r w:rsidR="00947119">
        <w:rPr>
          <w:rFonts w:ascii="Verdana" w:hAnsi="Verdana" w:cs="Arial"/>
          <w:bCs/>
          <w:sz w:val="18"/>
          <w:szCs w:val="18"/>
          <w:lang w:val="en-GB" w:eastAsia="pl-PL"/>
        </w:rPr>
        <w:t>as well as</w:t>
      </w:r>
      <w:r w:rsidRPr="00CF4123">
        <w:rPr>
          <w:rFonts w:ascii="Verdana" w:hAnsi="Verdana" w:cs="Arial"/>
          <w:bCs/>
          <w:sz w:val="18"/>
          <w:szCs w:val="18"/>
          <w:lang w:val="en-GB" w:eastAsia="pl-PL"/>
        </w:rPr>
        <w:t xml:space="preserve"> stable growth in revenue from information </w:t>
      </w:r>
      <w:r w:rsidR="000B7185">
        <w:rPr>
          <w:rFonts w:ascii="Verdana" w:hAnsi="Verdana" w:cs="Arial"/>
          <w:bCs/>
          <w:sz w:val="18"/>
          <w:szCs w:val="18"/>
          <w:lang w:val="en-GB" w:eastAsia="pl-PL"/>
        </w:rPr>
        <w:t xml:space="preserve">services </w:t>
      </w:r>
      <w:r w:rsidRPr="00CF4123">
        <w:rPr>
          <w:rFonts w:ascii="Verdana" w:hAnsi="Verdana" w:cs="Arial"/>
          <w:bCs/>
          <w:sz w:val="18"/>
          <w:szCs w:val="18"/>
          <w:lang w:val="en-GB" w:eastAsia="pl-PL"/>
        </w:rPr>
        <w:t>and index-related activities. The Financial Market segment grew by 23.1% year</w:t>
      </w:r>
      <w:r w:rsidR="000B7185">
        <w:rPr>
          <w:rFonts w:ascii="Verdana" w:hAnsi="Verdana" w:cs="Arial"/>
          <w:bCs/>
          <w:sz w:val="18"/>
          <w:szCs w:val="18"/>
          <w:lang w:val="en-GB" w:eastAsia="pl-PL"/>
        </w:rPr>
        <w:t xml:space="preserve"> </w:t>
      </w:r>
      <w:r w:rsidRPr="00CF4123">
        <w:rPr>
          <w:rFonts w:ascii="Verdana" w:hAnsi="Verdana" w:cs="Arial"/>
          <w:bCs/>
          <w:sz w:val="18"/>
          <w:szCs w:val="18"/>
          <w:lang w:val="en-GB" w:eastAsia="pl-PL"/>
        </w:rPr>
        <w:t>on</w:t>
      </w:r>
      <w:r w:rsidR="000B7185">
        <w:rPr>
          <w:rFonts w:ascii="Verdana" w:hAnsi="Verdana" w:cs="Arial"/>
          <w:bCs/>
          <w:sz w:val="18"/>
          <w:szCs w:val="18"/>
          <w:lang w:val="en-GB" w:eastAsia="pl-PL"/>
        </w:rPr>
        <w:t xml:space="preserve"> </w:t>
      </w:r>
      <w:r w:rsidRPr="00CF4123">
        <w:rPr>
          <w:rFonts w:ascii="Verdana" w:hAnsi="Verdana" w:cs="Arial"/>
          <w:bCs/>
          <w:sz w:val="18"/>
          <w:szCs w:val="18"/>
          <w:lang w:val="en-GB" w:eastAsia="pl-PL"/>
        </w:rPr>
        <w:t xml:space="preserve">year and </w:t>
      </w:r>
      <w:r w:rsidR="000B7185">
        <w:rPr>
          <w:rFonts w:ascii="Verdana" w:hAnsi="Verdana" w:cs="Arial"/>
          <w:bCs/>
          <w:sz w:val="18"/>
          <w:szCs w:val="18"/>
          <w:lang w:val="en-GB" w:eastAsia="pl-PL"/>
        </w:rPr>
        <w:t>generated</w:t>
      </w:r>
      <w:r w:rsidRPr="00CF4123">
        <w:rPr>
          <w:rFonts w:ascii="Verdana" w:hAnsi="Verdana" w:cs="Arial"/>
          <w:bCs/>
          <w:sz w:val="18"/>
          <w:szCs w:val="18"/>
          <w:lang w:val="en-GB" w:eastAsia="pl-PL"/>
        </w:rPr>
        <w:t xml:space="preserve"> revenues of PLN 364.5 million, driven by record-breaking </w:t>
      </w:r>
      <w:r w:rsidR="000B7185">
        <w:rPr>
          <w:rFonts w:ascii="Verdana" w:hAnsi="Verdana" w:cs="Arial"/>
          <w:bCs/>
          <w:sz w:val="18"/>
          <w:szCs w:val="18"/>
          <w:lang w:val="en-GB" w:eastAsia="pl-PL"/>
        </w:rPr>
        <w:t>equity</w:t>
      </w:r>
      <w:r w:rsidRPr="00CF4123">
        <w:rPr>
          <w:rFonts w:ascii="Verdana" w:hAnsi="Verdana" w:cs="Arial"/>
          <w:bCs/>
          <w:sz w:val="18"/>
          <w:szCs w:val="18"/>
          <w:lang w:val="en-GB" w:eastAsia="pl-PL"/>
        </w:rPr>
        <w:t xml:space="preserve"> turnover and increase</w:t>
      </w:r>
      <w:r w:rsidR="000B7185">
        <w:rPr>
          <w:rFonts w:ascii="Verdana" w:hAnsi="Verdana" w:cs="Arial"/>
          <w:bCs/>
          <w:sz w:val="18"/>
          <w:szCs w:val="18"/>
          <w:lang w:val="en-GB" w:eastAsia="pl-PL"/>
        </w:rPr>
        <w:t xml:space="preserve"> in</w:t>
      </w:r>
      <w:r w:rsidR="00947119">
        <w:rPr>
          <w:rFonts w:ascii="Verdana" w:hAnsi="Verdana" w:cs="Arial"/>
          <w:bCs/>
          <w:sz w:val="18"/>
          <w:szCs w:val="18"/>
          <w:lang w:val="en-GB" w:eastAsia="pl-PL"/>
        </w:rPr>
        <w:t xml:space="preserve"> sales of</w:t>
      </w:r>
      <w:r w:rsidRPr="00CF4123">
        <w:rPr>
          <w:rFonts w:ascii="Verdana" w:hAnsi="Verdana" w:cs="Arial"/>
          <w:bCs/>
          <w:sz w:val="18"/>
          <w:szCs w:val="18"/>
          <w:lang w:val="en-GB" w:eastAsia="pl-PL"/>
        </w:rPr>
        <w:t xml:space="preserve"> </w:t>
      </w:r>
      <w:r w:rsidR="000B7185" w:rsidRPr="00CF4123">
        <w:rPr>
          <w:rFonts w:ascii="Verdana" w:hAnsi="Verdana" w:cs="Arial"/>
          <w:bCs/>
          <w:sz w:val="18"/>
          <w:szCs w:val="18"/>
          <w:lang w:val="en-GB" w:eastAsia="pl-PL"/>
        </w:rPr>
        <w:t xml:space="preserve">information </w:t>
      </w:r>
      <w:r w:rsidR="000B7185">
        <w:rPr>
          <w:rFonts w:ascii="Verdana" w:hAnsi="Verdana" w:cs="Arial"/>
          <w:bCs/>
          <w:sz w:val="18"/>
          <w:szCs w:val="18"/>
          <w:lang w:val="en-GB" w:eastAsia="pl-PL"/>
        </w:rPr>
        <w:t>services</w:t>
      </w:r>
      <w:r w:rsidRPr="00CF4123">
        <w:rPr>
          <w:rFonts w:ascii="Verdana" w:hAnsi="Verdana" w:cs="Arial"/>
          <w:bCs/>
          <w:sz w:val="18"/>
          <w:szCs w:val="18"/>
          <w:lang w:val="en-GB" w:eastAsia="pl-PL"/>
        </w:rPr>
        <w:t xml:space="preserve">. The Commodities Market segment, </w:t>
      </w:r>
      <w:r w:rsidR="000B7185">
        <w:rPr>
          <w:rFonts w:ascii="Verdana" w:hAnsi="Verdana" w:cs="Arial"/>
          <w:bCs/>
          <w:sz w:val="18"/>
          <w:szCs w:val="18"/>
          <w:lang w:val="en-GB" w:eastAsia="pl-PL"/>
        </w:rPr>
        <w:t xml:space="preserve">which </w:t>
      </w:r>
      <w:r w:rsidRPr="00CF4123">
        <w:rPr>
          <w:rFonts w:ascii="Verdana" w:hAnsi="Verdana" w:cs="Arial"/>
          <w:bCs/>
          <w:sz w:val="18"/>
          <w:szCs w:val="18"/>
          <w:lang w:val="en-GB" w:eastAsia="pl-PL"/>
        </w:rPr>
        <w:t>benefit</w:t>
      </w:r>
      <w:r w:rsidR="000B7185">
        <w:rPr>
          <w:rFonts w:ascii="Verdana" w:hAnsi="Verdana" w:cs="Arial"/>
          <w:bCs/>
          <w:sz w:val="18"/>
          <w:szCs w:val="18"/>
          <w:lang w:val="en-GB" w:eastAsia="pl-PL"/>
        </w:rPr>
        <w:t>ed</w:t>
      </w:r>
      <w:r w:rsidRPr="00CF4123">
        <w:rPr>
          <w:rFonts w:ascii="Verdana" w:hAnsi="Verdana" w:cs="Arial"/>
          <w:bCs/>
          <w:sz w:val="18"/>
          <w:szCs w:val="18"/>
          <w:lang w:val="en-GB" w:eastAsia="pl-PL"/>
        </w:rPr>
        <w:t xml:space="preserve"> from rising gas trading volumes, generated PLN 171.6 million in revenue, representing a 12.5% year-on-year increase.</w:t>
      </w:r>
    </w:p>
    <w:p w14:paraId="42CBB501" w14:textId="77777777" w:rsidR="000E1C86" w:rsidRPr="00CF4123" w:rsidRDefault="000E1C86" w:rsidP="000E1C86">
      <w:pPr>
        <w:spacing w:after="0"/>
        <w:jc w:val="both"/>
        <w:rPr>
          <w:rFonts w:ascii="Verdana" w:hAnsi="Verdana" w:cs="Arial"/>
          <w:bCs/>
          <w:sz w:val="18"/>
          <w:szCs w:val="18"/>
          <w:lang w:val="en-GB" w:eastAsia="pl-PL"/>
        </w:rPr>
      </w:pPr>
    </w:p>
    <w:p w14:paraId="3C33DBB8" w14:textId="0290922C" w:rsidR="008D063F" w:rsidRPr="00CF4123" w:rsidRDefault="008D063F" w:rsidP="008D063F">
      <w:pPr>
        <w:spacing w:after="0"/>
        <w:jc w:val="both"/>
        <w:rPr>
          <w:rFonts w:ascii="Verdana" w:hAnsi="Verdana" w:cs="Arial"/>
          <w:bCs/>
          <w:sz w:val="18"/>
          <w:szCs w:val="18"/>
          <w:lang w:val="en-GB" w:eastAsia="pl-PL"/>
        </w:rPr>
      </w:pPr>
      <w:r w:rsidRPr="00CF4123">
        <w:rPr>
          <w:rFonts w:ascii="Verdana" w:hAnsi="Verdana" w:cs="Arial"/>
          <w:bCs/>
          <w:sz w:val="18"/>
          <w:szCs w:val="18"/>
          <w:lang w:val="en-GB" w:eastAsia="pl-PL"/>
        </w:rPr>
        <w:t>Adjusted EBITDA amounted to PLN 225.4 million, representing a 37.7% year-on-year increase. This reflects continued cost discipline and the impact of increased trading volumes in the financial markets. Adjusted net profit stood at PLN 204.7 million, rising by 30.2% year</w:t>
      </w:r>
      <w:r>
        <w:rPr>
          <w:rFonts w:ascii="Verdana" w:hAnsi="Verdana" w:cs="Arial"/>
          <w:bCs/>
          <w:sz w:val="18"/>
          <w:szCs w:val="18"/>
          <w:lang w:val="en-GB" w:eastAsia="pl-PL"/>
        </w:rPr>
        <w:t xml:space="preserve"> </w:t>
      </w:r>
      <w:r w:rsidRPr="00CF4123">
        <w:rPr>
          <w:rFonts w:ascii="Verdana" w:hAnsi="Verdana" w:cs="Arial"/>
          <w:bCs/>
          <w:sz w:val="18"/>
          <w:szCs w:val="18"/>
          <w:lang w:val="en-GB" w:eastAsia="pl-PL"/>
        </w:rPr>
        <w:t>on</w:t>
      </w:r>
      <w:r>
        <w:rPr>
          <w:rFonts w:ascii="Verdana" w:hAnsi="Verdana" w:cs="Arial"/>
          <w:bCs/>
          <w:sz w:val="18"/>
          <w:szCs w:val="18"/>
          <w:lang w:val="en-GB" w:eastAsia="pl-PL"/>
        </w:rPr>
        <w:t xml:space="preserve"> </w:t>
      </w:r>
      <w:r w:rsidRPr="00CF4123">
        <w:rPr>
          <w:rFonts w:ascii="Verdana" w:hAnsi="Verdana" w:cs="Arial"/>
          <w:bCs/>
          <w:sz w:val="18"/>
          <w:szCs w:val="18"/>
          <w:lang w:val="en-GB" w:eastAsia="pl-PL"/>
        </w:rPr>
        <w:t>year.</w:t>
      </w:r>
    </w:p>
    <w:p w14:paraId="3BED15C2" w14:textId="77777777" w:rsidR="000E1C86" w:rsidRPr="00CF4123" w:rsidRDefault="000E1C86" w:rsidP="000E1C86">
      <w:pPr>
        <w:spacing w:after="0"/>
        <w:jc w:val="both"/>
        <w:rPr>
          <w:rFonts w:ascii="Verdana" w:hAnsi="Verdana" w:cs="Arial"/>
          <w:bCs/>
          <w:sz w:val="18"/>
          <w:szCs w:val="18"/>
          <w:lang w:val="en-GB" w:eastAsia="pl-PL"/>
        </w:rPr>
      </w:pPr>
    </w:p>
    <w:p w14:paraId="022EF489" w14:textId="275C6559" w:rsidR="008D063F" w:rsidRPr="00CF4123" w:rsidRDefault="00C73518" w:rsidP="008D063F">
      <w:pPr>
        <w:spacing w:after="0"/>
        <w:jc w:val="both"/>
        <w:rPr>
          <w:rFonts w:ascii="Verdana" w:hAnsi="Verdana" w:cs="Arial"/>
          <w:bCs/>
          <w:sz w:val="18"/>
          <w:szCs w:val="18"/>
          <w:lang w:val="en-GB" w:eastAsia="pl-PL"/>
        </w:rPr>
      </w:pPr>
      <w:r>
        <w:rPr>
          <w:rFonts w:ascii="Verdana" w:hAnsi="Verdana" w:cs="Arial"/>
          <w:bCs/>
          <w:sz w:val="18"/>
          <w:szCs w:val="18"/>
          <w:lang w:val="en-GB" w:eastAsia="pl-PL"/>
        </w:rPr>
        <w:t>A</w:t>
      </w:r>
      <w:r w:rsidR="008D063F" w:rsidRPr="00CF4123">
        <w:rPr>
          <w:rFonts w:ascii="Verdana" w:hAnsi="Verdana" w:cs="Arial"/>
          <w:bCs/>
          <w:sz w:val="18"/>
          <w:szCs w:val="18"/>
          <w:lang w:val="en-GB" w:eastAsia="pl-PL"/>
        </w:rPr>
        <w:t xml:space="preserve"> </w:t>
      </w:r>
      <w:r>
        <w:rPr>
          <w:rFonts w:ascii="Verdana" w:hAnsi="Verdana" w:cs="Arial"/>
          <w:bCs/>
          <w:sz w:val="18"/>
          <w:szCs w:val="18"/>
          <w:lang w:val="en-GB" w:eastAsia="pl-PL"/>
        </w:rPr>
        <w:t xml:space="preserve">positive </w:t>
      </w:r>
      <w:r w:rsidR="008D063F" w:rsidRPr="00CF4123">
        <w:rPr>
          <w:rFonts w:ascii="Verdana" w:hAnsi="Verdana" w:cs="Arial"/>
          <w:bCs/>
          <w:sz w:val="18"/>
          <w:szCs w:val="18"/>
          <w:lang w:val="en-GB" w:eastAsia="pl-PL"/>
        </w:rPr>
        <w:t xml:space="preserve">trend continued </w:t>
      </w:r>
      <w:r>
        <w:rPr>
          <w:rFonts w:ascii="Verdana" w:hAnsi="Verdana" w:cs="Arial"/>
          <w:bCs/>
          <w:sz w:val="18"/>
          <w:szCs w:val="18"/>
          <w:lang w:val="en-GB" w:eastAsia="pl-PL"/>
        </w:rPr>
        <w:t>with</w:t>
      </w:r>
      <w:r w:rsidR="008D063F" w:rsidRPr="00CF4123">
        <w:rPr>
          <w:rFonts w:ascii="Verdana" w:hAnsi="Verdana" w:cs="Arial"/>
          <w:bCs/>
          <w:sz w:val="18"/>
          <w:szCs w:val="18"/>
          <w:lang w:val="en-GB" w:eastAsia="pl-PL"/>
        </w:rPr>
        <w:t xml:space="preserve"> revenue growth outpac</w:t>
      </w:r>
      <w:r>
        <w:rPr>
          <w:rFonts w:ascii="Verdana" w:hAnsi="Verdana" w:cs="Arial"/>
          <w:bCs/>
          <w:sz w:val="18"/>
          <w:szCs w:val="18"/>
          <w:lang w:val="en-GB" w:eastAsia="pl-PL"/>
        </w:rPr>
        <w:t>ing</w:t>
      </w:r>
      <w:r w:rsidR="008D063F" w:rsidRPr="00CF4123">
        <w:rPr>
          <w:rFonts w:ascii="Verdana" w:hAnsi="Verdana" w:cs="Arial"/>
          <w:bCs/>
          <w:sz w:val="18"/>
          <w:szCs w:val="18"/>
          <w:lang w:val="en-GB" w:eastAsia="pl-PL"/>
        </w:rPr>
        <w:t xml:space="preserve"> the rise in operating costs. The cost/income ratio fell to 66.1%, reaching the level set out in the financial </w:t>
      </w:r>
      <w:r>
        <w:rPr>
          <w:rFonts w:ascii="Verdana" w:hAnsi="Verdana" w:cs="Arial"/>
          <w:bCs/>
          <w:sz w:val="18"/>
          <w:szCs w:val="18"/>
          <w:lang w:val="en-GB" w:eastAsia="pl-PL"/>
        </w:rPr>
        <w:t>ambitions</w:t>
      </w:r>
      <w:r w:rsidR="008D063F" w:rsidRPr="00CF4123">
        <w:rPr>
          <w:rFonts w:ascii="Verdana" w:hAnsi="Verdana" w:cs="Arial"/>
          <w:bCs/>
          <w:sz w:val="18"/>
          <w:szCs w:val="18"/>
          <w:lang w:val="en-GB" w:eastAsia="pl-PL"/>
        </w:rPr>
        <w:t xml:space="preserve"> of the Strategic Development Directions 2025–2027. The ROE for the last twelve months reached 17.8%, meeting the strategic target. </w:t>
      </w:r>
    </w:p>
    <w:p w14:paraId="6E95D3A8" w14:textId="77777777" w:rsidR="007437D7" w:rsidRPr="00CF4123" w:rsidRDefault="007437D7" w:rsidP="000E1C86">
      <w:pPr>
        <w:spacing w:after="0"/>
        <w:jc w:val="both"/>
        <w:rPr>
          <w:rFonts w:ascii="Verdana" w:hAnsi="Verdana" w:cs="Arial"/>
          <w:bCs/>
          <w:sz w:val="18"/>
          <w:szCs w:val="18"/>
          <w:lang w:val="en-GB" w:eastAsia="pl-PL"/>
        </w:rPr>
      </w:pPr>
    </w:p>
    <w:p w14:paraId="01FD23EA" w14:textId="7D8D6724" w:rsidR="00C73518" w:rsidRPr="00CF4123" w:rsidRDefault="00C73518" w:rsidP="00C73518">
      <w:pPr>
        <w:spacing w:after="0"/>
        <w:jc w:val="both"/>
        <w:rPr>
          <w:rFonts w:ascii="Verdana" w:hAnsi="Verdana" w:cs="Arial"/>
          <w:bCs/>
          <w:sz w:val="18"/>
          <w:szCs w:val="18"/>
          <w:lang w:val="en-GB" w:eastAsia="pl-PL"/>
        </w:rPr>
      </w:pPr>
      <w:r w:rsidRPr="00CF4123">
        <w:rPr>
          <w:rFonts w:ascii="Verdana" w:hAnsi="Verdana" w:cs="Arial"/>
          <w:bCs/>
          <w:sz w:val="18"/>
          <w:szCs w:val="18"/>
          <w:lang w:val="en-GB" w:eastAsia="pl-PL"/>
        </w:rPr>
        <w:t xml:space="preserve">The reported result was influenced by one-off events relating to companies outside the core business. The negative impact of impairment losses and provisions, net of recognised grants, amounted to a total of PLN 37.6 million in 2024 and 2025 and related to GPW DAI, GPW Private Market and GPW Logistics. These </w:t>
      </w:r>
      <w:r w:rsidR="001107A0" w:rsidRPr="00CF4123">
        <w:rPr>
          <w:rFonts w:ascii="Verdana" w:hAnsi="Verdana" w:cs="Arial"/>
          <w:bCs/>
          <w:sz w:val="18"/>
          <w:szCs w:val="18"/>
          <w:lang w:val="en-GB" w:eastAsia="pl-PL"/>
        </w:rPr>
        <w:t xml:space="preserve">were accounting </w:t>
      </w:r>
      <w:r w:rsidRPr="00CF4123">
        <w:rPr>
          <w:rFonts w:ascii="Verdana" w:hAnsi="Verdana" w:cs="Arial"/>
          <w:bCs/>
          <w:sz w:val="18"/>
          <w:szCs w:val="18"/>
          <w:lang w:val="en-GB" w:eastAsia="pl-PL"/>
        </w:rPr>
        <w:t xml:space="preserve">events; they did not affect cash flows and did not reduce the Group’s dividend capacity. During the same period, the total operating costs of these entities reached PLN 44.0 million against generated revenue of PLN 25.5 million, which confirmed the limited potential for their further commercialisation. </w:t>
      </w:r>
    </w:p>
    <w:p w14:paraId="466BE1E6" w14:textId="77777777" w:rsidR="009146F8" w:rsidRPr="00CF4123" w:rsidRDefault="009146F8" w:rsidP="000E1C86">
      <w:pPr>
        <w:spacing w:after="0"/>
        <w:jc w:val="both"/>
        <w:rPr>
          <w:rFonts w:ascii="Verdana" w:hAnsi="Verdana" w:cs="Arial"/>
          <w:bCs/>
          <w:sz w:val="18"/>
          <w:szCs w:val="18"/>
          <w:lang w:val="en-GB" w:eastAsia="pl-PL"/>
        </w:rPr>
      </w:pPr>
    </w:p>
    <w:p w14:paraId="4BE4A745" w14:textId="1DD81452" w:rsidR="00CF4123" w:rsidRPr="00CF4123" w:rsidRDefault="000B2421" w:rsidP="00CF4123">
      <w:pPr>
        <w:spacing w:after="0"/>
        <w:jc w:val="both"/>
        <w:rPr>
          <w:rFonts w:ascii="Verdana" w:hAnsi="Verdana" w:cs="Arial"/>
          <w:bCs/>
          <w:sz w:val="18"/>
          <w:szCs w:val="18"/>
          <w:lang w:val="en-GB" w:eastAsia="pl-PL"/>
        </w:rPr>
      </w:pPr>
      <w:r>
        <w:rPr>
          <w:rFonts w:ascii="Verdana" w:hAnsi="Verdana" w:cs="Arial"/>
          <w:bCs/>
          <w:sz w:val="18"/>
          <w:szCs w:val="18"/>
          <w:lang w:val="en-GB" w:eastAsia="pl-PL"/>
        </w:rPr>
        <w:t>“</w:t>
      </w:r>
      <w:r w:rsidR="00CF4123" w:rsidRPr="000B2421">
        <w:rPr>
          <w:rFonts w:ascii="Verdana" w:hAnsi="Verdana" w:cs="Arial"/>
          <w:bCs/>
          <w:i/>
          <w:iCs/>
          <w:sz w:val="18"/>
          <w:szCs w:val="18"/>
          <w:lang w:val="en-GB" w:eastAsia="pl-PL"/>
        </w:rPr>
        <w:t xml:space="preserve">The priority remains the continuation of an attractive dividend policy, involving the payment of 60–80% of consolidated net profit and striving for a gradual increase in the level of dividends. The Group’s financial stability and revenue </w:t>
      </w:r>
      <w:r w:rsidRPr="000B2421">
        <w:rPr>
          <w:rFonts w:ascii="Verdana" w:hAnsi="Verdana" w:cs="Arial"/>
          <w:bCs/>
          <w:i/>
          <w:iCs/>
          <w:sz w:val="18"/>
          <w:szCs w:val="18"/>
          <w:lang w:val="en-GB" w:eastAsia="pl-PL"/>
        </w:rPr>
        <w:t>mix</w:t>
      </w:r>
      <w:r w:rsidR="00CF4123" w:rsidRPr="000B2421">
        <w:rPr>
          <w:rFonts w:ascii="Verdana" w:hAnsi="Verdana" w:cs="Arial"/>
          <w:bCs/>
          <w:i/>
          <w:iCs/>
          <w:sz w:val="18"/>
          <w:szCs w:val="18"/>
          <w:lang w:val="en-GB" w:eastAsia="pl-PL"/>
        </w:rPr>
        <w:t xml:space="preserve"> allow these objectives to be pursued in a predictable and responsible manner,</w:t>
      </w:r>
      <w:r w:rsidR="00CF4123" w:rsidRPr="00CF4123">
        <w:rPr>
          <w:rFonts w:ascii="Verdana" w:hAnsi="Verdana" w:cs="Arial"/>
          <w:bCs/>
          <w:sz w:val="18"/>
          <w:szCs w:val="18"/>
          <w:lang w:val="en-GB" w:eastAsia="pl-PL"/>
        </w:rPr>
        <w:t xml:space="preserve">” </w:t>
      </w:r>
      <w:r>
        <w:rPr>
          <w:rFonts w:ascii="Verdana" w:hAnsi="Verdana" w:cs="Arial"/>
          <w:bCs/>
          <w:sz w:val="18"/>
          <w:szCs w:val="18"/>
          <w:lang w:val="en-GB" w:eastAsia="pl-PL"/>
        </w:rPr>
        <w:t>said</w:t>
      </w:r>
      <w:r w:rsidR="00CF4123" w:rsidRPr="00CF4123">
        <w:rPr>
          <w:rFonts w:ascii="Verdana" w:hAnsi="Verdana" w:cs="Arial"/>
          <w:bCs/>
          <w:sz w:val="18"/>
          <w:szCs w:val="18"/>
          <w:lang w:val="en-GB" w:eastAsia="pl-PL"/>
        </w:rPr>
        <w:t xml:space="preserve"> Tomasz Bardziłowski, </w:t>
      </w:r>
      <w:r>
        <w:rPr>
          <w:rFonts w:ascii="Verdana" w:hAnsi="Verdana" w:cs="Arial"/>
          <w:bCs/>
          <w:sz w:val="18"/>
          <w:szCs w:val="18"/>
          <w:lang w:val="en-GB" w:eastAsia="pl-PL"/>
        </w:rPr>
        <w:t>President</w:t>
      </w:r>
      <w:r w:rsidR="00CF4123" w:rsidRPr="00CF4123">
        <w:rPr>
          <w:rFonts w:ascii="Verdana" w:hAnsi="Verdana" w:cs="Arial"/>
          <w:bCs/>
          <w:sz w:val="18"/>
          <w:szCs w:val="18"/>
          <w:lang w:val="en-GB" w:eastAsia="pl-PL"/>
        </w:rPr>
        <w:t xml:space="preserve"> of the Management Board of the Warsaw Stock Exchange.</w:t>
      </w:r>
    </w:p>
    <w:p w14:paraId="5AF7FF7D" w14:textId="77777777" w:rsidR="007437D7" w:rsidRPr="00CF4123" w:rsidRDefault="007437D7" w:rsidP="007437D7">
      <w:pPr>
        <w:pStyle w:val="NormalWeb"/>
        <w:spacing w:before="0" w:beforeAutospacing="0" w:after="0" w:afterAutospacing="0" w:line="264" w:lineRule="auto"/>
        <w:jc w:val="both"/>
        <w:rPr>
          <w:rFonts w:ascii="Verdana" w:hAnsi="Verdana" w:cs="Arial"/>
          <w:sz w:val="18"/>
          <w:szCs w:val="18"/>
          <w:lang w:val="en-GB"/>
        </w:rPr>
      </w:pPr>
    </w:p>
    <w:p w14:paraId="1D479A0B" w14:textId="51F320B6" w:rsidR="000B2421" w:rsidRPr="00CF4123" w:rsidRDefault="000B2421" w:rsidP="000B2421">
      <w:pPr>
        <w:spacing w:after="0"/>
        <w:rPr>
          <w:rFonts w:ascii="Verdana" w:hAnsi="Verdana" w:cs="Arial"/>
          <w:b/>
          <w:color w:val="5B9BD5" w:themeColor="accent1"/>
          <w:sz w:val="18"/>
          <w:szCs w:val="18"/>
          <w:lang w:val="en-GB" w:eastAsia="pl-PL"/>
        </w:rPr>
      </w:pPr>
      <w:r>
        <w:rPr>
          <w:rFonts w:ascii="Verdana" w:hAnsi="Verdana" w:cs="Arial"/>
          <w:b/>
          <w:color w:val="5B9BD5" w:themeColor="accent1"/>
          <w:sz w:val="18"/>
          <w:szCs w:val="18"/>
          <w:lang w:val="en-GB" w:eastAsia="pl-PL"/>
        </w:rPr>
        <w:t>S</w:t>
      </w:r>
      <w:r w:rsidRPr="000B2421">
        <w:rPr>
          <w:rFonts w:ascii="Verdana" w:hAnsi="Verdana" w:cs="Arial"/>
          <w:b/>
          <w:color w:val="5B9BD5" w:themeColor="accent1"/>
          <w:sz w:val="18"/>
          <w:szCs w:val="18"/>
          <w:lang w:val="en-GB" w:eastAsia="pl-PL"/>
        </w:rPr>
        <w:t>trong upturn in SPO</w:t>
      </w:r>
      <w:r>
        <w:rPr>
          <w:rFonts w:ascii="Verdana" w:hAnsi="Verdana" w:cs="Arial"/>
          <w:b/>
          <w:color w:val="5B9BD5" w:themeColor="accent1"/>
          <w:sz w:val="18"/>
          <w:szCs w:val="18"/>
          <w:lang w:val="en-GB" w:eastAsia="pl-PL"/>
        </w:rPr>
        <w:t>s</w:t>
      </w:r>
      <w:r w:rsidRPr="000B2421">
        <w:rPr>
          <w:rFonts w:ascii="Verdana" w:hAnsi="Verdana" w:cs="Arial"/>
          <w:b/>
          <w:color w:val="5B9BD5" w:themeColor="accent1"/>
          <w:sz w:val="18"/>
          <w:szCs w:val="18"/>
          <w:lang w:val="en-GB" w:eastAsia="pl-PL"/>
        </w:rPr>
        <w:t xml:space="preserve"> and ABB</w:t>
      </w:r>
      <w:r>
        <w:rPr>
          <w:rFonts w:ascii="Verdana" w:hAnsi="Verdana" w:cs="Arial"/>
          <w:b/>
          <w:color w:val="5B9BD5" w:themeColor="accent1"/>
          <w:sz w:val="18"/>
          <w:szCs w:val="18"/>
          <w:lang w:val="en-GB" w:eastAsia="pl-PL"/>
        </w:rPr>
        <w:t>s</w:t>
      </w:r>
      <w:r w:rsidRPr="000B2421">
        <w:rPr>
          <w:rFonts w:ascii="Verdana" w:hAnsi="Verdana" w:cs="Arial"/>
          <w:b/>
          <w:color w:val="5B9BD5" w:themeColor="accent1"/>
          <w:sz w:val="18"/>
          <w:szCs w:val="18"/>
          <w:lang w:val="en-GB" w:eastAsia="pl-PL"/>
        </w:rPr>
        <w:t xml:space="preserve"> </w:t>
      </w:r>
      <w:r>
        <w:rPr>
          <w:rFonts w:ascii="Verdana" w:hAnsi="Verdana" w:cs="Arial"/>
          <w:b/>
          <w:color w:val="5B9BD5" w:themeColor="accent1"/>
          <w:sz w:val="18"/>
          <w:szCs w:val="18"/>
          <w:lang w:val="en-GB" w:eastAsia="pl-PL"/>
        </w:rPr>
        <w:t>with</w:t>
      </w:r>
      <w:r w:rsidRPr="000B2421">
        <w:rPr>
          <w:rFonts w:ascii="Verdana" w:hAnsi="Verdana" w:cs="Arial"/>
          <w:b/>
          <w:color w:val="5B9BD5" w:themeColor="accent1"/>
          <w:sz w:val="18"/>
          <w:szCs w:val="18"/>
          <w:lang w:val="en-GB" w:eastAsia="pl-PL"/>
        </w:rPr>
        <w:t xml:space="preserve"> a limited number of IPOs</w:t>
      </w:r>
    </w:p>
    <w:p w14:paraId="10A622AB" w14:textId="77777777" w:rsidR="000E1C86" w:rsidRPr="00CF4123" w:rsidRDefault="000E1C86" w:rsidP="000E1C86">
      <w:pPr>
        <w:spacing w:after="0"/>
        <w:jc w:val="both"/>
        <w:rPr>
          <w:rFonts w:ascii="Verdana" w:hAnsi="Verdana" w:cs="Arial"/>
          <w:bCs/>
          <w:sz w:val="18"/>
          <w:szCs w:val="18"/>
          <w:lang w:val="en-GB" w:eastAsia="pl-PL"/>
        </w:rPr>
      </w:pPr>
    </w:p>
    <w:p w14:paraId="537A0676" w14:textId="19B974CD" w:rsidR="000B2421" w:rsidRPr="00CF4123" w:rsidRDefault="000B2421" w:rsidP="000B2421">
      <w:pPr>
        <w:spacing w:after="0"/>
        <w:jc w:val="both"/>
        <w:rPr>
          <w:rFonts w:ascii="Verdana" w:hAnsi="Verdana" w:cs="Arial"/>
          <w:bCs/>
          <w:sz w:val="18"/>
          <w:szCs w:val="18"/>
          <w:lang w:val="en-GB" w:eastAsia="pl-PL"/>
        </w:rPr>
      </w:pPr>
      <w:r w:rsidRPr="00CF4123">
        <w:rPr>
          <w:rFonts w:ascii="Verdana" w:hAnsi="Verdana" w:cs="Arial"/>
          <w:bCs/>
          <w:sz w:val="18"/>
          <w:szCs w:val="18"/>
          <w:lang w:val="en-GB" w:eastAsia="pl-PL"/>
        </w:rPr>
        <w:t xml:space="preserve">The year 2025 </w:t>
      </w:r>
      <w:r>
        <w:rPr>
          <w:rFonts w:ascii="Verdana" w:hAnsi="Verdana" w:cs="Arial"/>
          <w:bCs/>
          <w:sz w:val="18"/>
          <w:szCs w:val="18"/>
          <w:lang w:val="en-GB" w:eastAsia="pl-PL"/>
        </w:rPr>
        <w:t>was marked by</w:t>
      </w:r>
      <w:r w:rsidRPr="00CF4123">
        <w:rPr>
          <w:rFonts w:ascii="Verdana" w:hAnsi="Verdana" w:cs="Arial"/>
          <w:bCs/>
          <w:sz w:val="18"/>
          <w:szCs w:val="18"/>
          <w:lang w:val="en-GB" w:eastAsia="pl-PL"/>
        </w:rPr>
        <w:t xml:space="preserve"> a strong recovery in secondary market issues – SPOs and ABBs – whi</w:t>
      </w:r>
      <w:r w:rsidR="00567703">
        <w:rPr>
          <w:rFonts w:ascii="Verdana" w:hAnsi="Verdana" w:cs="Arial"/>
          <w:bCs/>
          <w:sz w:val="18"/>
          <w:szCs w:val="18"/>
          <w:lang w:val="en-GB" w:eastAsia="pl-PL"/>
        </w:rPr>
        <w:t>le</w:t>
      </w:r>
      <w:r w:rsidRPr="00CF4123">
        <w:rPr>
          <w:rFonts w:ascii="Verdana" w:hAnsi="Verdana" w:cs="Arial"/>
          <w:bCs/>
          <w:sz w:val="18"/>
          <w:szCs w:val="18"/>
          <w:lang w:val="en-GB" w:eastAsia="pl-PL"/>
        </w:rPr>
        <w:t xml:space="preserve"> the number of </w:t>
      </w:r>
      <w:r w:rsidR="00567703">
        <w:rPr>
          <w:rFonts w:ascii="Verdana" w:hAnsi="Verdana" w:cs="Arial"/>
          <w:bCs/>
          <w:sz w:val="18"/>
          <w:szCs w:val="18"/>
          <w:lang w:val="en-GB" w:eastAsia="pl-PL"/>
        </w:rPr>
        <w:t>initial</w:t>
      </w:r>
      <w:r w:rsidRPr="00CF4123">
        <w:rPr>
          <w:rFonts w:ascii="Verdana" w:hAnsi="Verdana" w:cs="Arial"/>
          <w:bCs/>
          <w:sz w:val="18"/>
          <w:szCs w:val="18"/>
          <w:lang w:val="en-GB" w:eastAsia="pl-PL"/>
        </w:rPr>
        <w:t xml:space="preserve"> </w:t>
      </w:r>
      <w:r w:rsidR="00351873">
        <w:rPr>
          <w:rFonts w:ascii="Verdana" w:hAnsi="Verdana" w:cs="Arial"/>
          <w:bCs/>
          <w:sz w:val="18"/>
          <w:szCs w:val="18"/>
          <w:lang w:val="en-GB" w:eastAsia="pl-PL"/>
        </w:rPr>
        <w:t>public</w:t>
      </w:r>
      <w:r w:rsidRPr="00CF4123">
        <w:rPr>
          <w:rFonts w:ascii="Verdana" w:hAnsi="Verdana" w:cs="Arial"/>
          <w:bCs/>
          <w:sz w:val="18"/>
          <w:szCs w:val="18"/>
          <w:lang w:val="en-GB" w:eastAsia="pl-PL"/>
        </w:rPr>
        <w:t xml:space="preserve"> offerings remained limited. The total value of the Equity Capital Market (IPO, SPO and ABB transactions) in 2025 amounted to PLN 20.3 billion, representing a year-on-year increase of 28.5%. Demand for SPO and ABB offerings was largely driven by institutional investors. This trend confirmed the restoration of issuers’ confidence in the equity market as an effective source of capital.</w:t>
      </w:r>
    </w:p>
    <w:p w14:paraId="43ACAD0F" w14:textId="77777777" w:rsidR="000E1C86" w:rsidRPr="00CF4123" w:rsidRDefault="000E1C86" w:rsidP="000E1C86">
      <w:pPr>
        <w:spacing w:after="0"/>
        <w:jc w:val="both"/>
        <w:rPr>
          <w:rFonts w:ascii="Verdana" w:hAnsi="Verdana" w:cs="Arial"/>
          <w:bCs/>
          <w:sz w:val="18"/>
          <w:szCs w:val="18"/>
          <w:lang w:val="en-GB" w:eastAsia="pl-PL"/>
        </w:rPr>
      </w:pPr>
    </w:p>
    <w:p w14:paraId="0C5DF6C0" w14:textId="63337DF9" w:rsidR="00CF4123" w:rsidRPr="00CF4123" w:rsidRDefault="00CF4123" w:rsidP="00CF4123">
      <w:pPr>
        <w:spacing w:after="0"/>
        <w:jc w:val="both"/>
        <w:rPr>
          <w:rFonts w:ascii="Verdana" w:hAnsi="Verdana" w:cs="Arial"/>
          <w:bCs/>
          <w:sz w:val="18"/>
          <w:szCs w:val="18"/>
          <w:lang w:val="en-GB" w:eastAsia="pl-PL"/>
        </w:rPr>
      </w:pPr>
      <w:r w:rsidRPr="00CF4123">
        <w:rPr>
          <w:rFonts w:ascii="Verdana" w:hAnsi="Verdana" w:cs="Arial"/>
          <w:bCs/>
          <w:sz w:val="18"/>
          <w:szCs w:val="18"/>
          <w:lang w:val="en-GB" w:eastAsia="pl-PL"/>
        </w:rPr>
        <w:t xml:space="preserve">In 2025, a total of 55 IPOs were recorded on the Warsaw Stock Exchange. On the </w:t>
      </w:r>
      <w:r w:rsidR="006C38C8">
        <w:rPr>
          <w:rFonts w:ascii="Verdana" w:hAnsi="Verdana" w:cs="Arial"/>
          <w:bCs/>
          <w:sz w:val="18"/>
          <w:szCs w:val="18"/>
          <w:lang w:val="en-GB" w:eastAsia="pl-PL"/>
        </w:rPr>
        <w:t>GPW</w:t>
      </w:r>
      <w:r w:rsidRPr="00CF4123">
        <w:rPr>
          <w:rFonts w:ascii="Verdana" w:hAnsi="Verdana" w:cs="Arial"/>
          <w:bCs/>
          <w:sz w:val="18"/>
          <w:szCs w:val="18"/>
          <w:lang w:val="en-GB" w:eastAsia="pl-PL"/>
        </w:rPr>
        <w:t xml:space="preserve"> Main Market, the public offering by Diagnostyka, worth approximately PLN 1.7 billion, was particularly significant</w:t>
      </w:r>
      <w:r w:rsidR="00011DF1">
        <w:rPr>
          <w:rFonts w:ascii="Verdana" w:hAnsi="Verdana" w:cs="Arial"/>
          <w:bCs/>
          <w:sz w:val="18"/>
          <w:szCs w:val="18"/>
          <w:lang w:val="en-GB" w:eastAsia="pl-PL"/>
        </w:rPr>
        <w:t xml:space="preserve"> as it was</w:t>
      </w:r>
      <w:r w:rsidRPr="00CF4123">
        <w:rPr>
          <w:rFonts w:ascii="Verdana" w:hAnsi="Verdana" w:cs="Arial"/>
          <w:bCs/>
          <w:sz w:val="18"/>
          <w:szCs w:val="18"/>
          <w:lang w:val="en-GB" w:eastAsia="pl-PL"/>
        </w:rPr>
        <w:t xml:space="preserve"> one of the largest IPOs in Europe during this period. In </w:t>
      </w:r>
      <w:r w:rsidR="006C38C8">
        <w:rPr>
          <w:rFonts w:ascii="Verdana" w:hAnsi="Verdana" w:cs="Arial"/>
          <w:bCs/>
          <w:sz w:val="18"/>
          <w:szCs w:val="18"/>
          <w:lang w:val="en-GB" w:eastAsia="pl-PL"/>
        </w:rPr>
        <w:t>Q2</w:t>
      </w:r>
      <w:r w:rsidRPr="00CF4123">
        <w:rPr>
          <w:rFonts w:ascii="Verdana" w:hAnsi="Verdana" w:cs="Arial"/>
          <w:bCs/>
          <w:sz w:val="18"/>
          <w:szCs w:val="18"/>
          <w:lang w:val="en-GB" w:eastAsia="pl-PL"/>
        </w:rPr>
        <w:t xml:space="preserve"> 2025, </w:t>
      </w:r>
      <w:r w:rsidR="00011DF1">
        <w:rPr>
          <w:rFonts w:ascii="Verdana" w:hAnsi="Verdana" w:cs="Arial"/>
          <w:bCs/>
          <w:sz w:val="18"/>
          <w:szCs w:val="18"/>
          <w:lang w:val="en-GB" w:eastAsia="pl-PL"/>
        </w:rPr>
        <w:t xml:space="preserve">companies including </w:t>
      </w:r>
      <w:r w:rsidRPr="00CF4123">
        <w:rPr>
          <w:rFonts w:ascii="Verdana" w:hAnsi="Verdana" w:cs="Arial"/>
          <w:bCs/>
          <w:sz w:val="18"/>
          <w:szCs w:val="18"/>
          <w:lang w:val="en-GB" w:eastAsia="pl-PL"/>
        </w:rPr>
        <w:t xml:space="preserve">Arlen and QNA Technology, which had transferred from NewConnect, </w:t>
      </w:r>
      <w:r w:rsidR="00813972">
        <w:rPr>
          <w:rFonts w:ascii="Verdana" w:hAnsi="Verdana" w:cs="Arial"/>
          <w:bCs/>
          <w:sz w:val="18"/>
          <w:szCs w:val="18"/>
          <w:lang w:val="en-GB" w:eastAsia="pl-PL"/>
        </w:rPr>
        <w:t>were newly listed on the GPW</w:t>
      </w:r>
      <w:r w:rsidRPr="00CF4123">
        <w:rPr>
          <w:rFonts w:ascii="Verdana" w:hAnsi="Verdana" w:cs="Arial"/>
          <w:bCs/>
          <w:sz w:val="18"/>
          <w:szCs w:val="18"/>
          <w:lang w:val="en-GB" w:eastAsia="pl-PL"/>
        </w:rPr>
        <w:t xml:space="preserve"> Main Market. Eight companies </w:t>
      </w:r>
      <w:r w:rsidR="00813972">
        <w:rPr>
          <w:rFonts w:ascii="Verdana" w:hAnsi="Verdana" w:cs="Arial"/>
          <w:bCs/>
          <w:sz w:val="18"/>
          <w:szCs w:val="18"/>
          <w:lang w:val="en-GB" w:eastAsia="pl-PL"/>
        </w:rPr>
        <w:t xml:space="preserve">were newly listed </w:t>
      </w:r>
      <w:r w:rsidR="00813972">
        <w:rPr>
          <w:rFonts w:ascii="Verdana" w:hAnsi="Verdana" w:cs="Arial"/>
          <w:bCs/>
          <w:sz w:val="18"/>
          <w:szCs w:val="18"/>
          <w:lang w:val="en-GB" w:eastAsia="pl-PL"/>
        </w:rPr>
        <w:t xml:space="preserve">on </w:t>
      </w:r>
      <w:r w:rsidRPr="00CF4123">
        <w:rPr>
          <w:rFonts w:ascii="Verdana" w:hAnsi="Verdana" w:cs="Arial"/>
          <w:bCs/>
          <w:sz w:val="18"/>
          <w:szCs w:val="18"/>
          <w:lang w:val="en-GB" w:eastAsia="pl-PL"/>
        </w:rPr>
        <w:t xml:space="preserve">NewConnect in 2025, </w:t>
      </w:r>
      <w:r w:rsidR="00813972">
        <w:rPr>
          <w:rFonts w:ascii="Verdana" w:hAnsi="Verdana" w:cs="Arial"/>
          <w:bCs/>
          <w:sz w:val="18"/>
          <w:szCs w:val="18"/>
          <w:lang w:val="en-GB" w:eastAsia="pl-PL"/>
        </w:rPr>
        <w:t>and</w:t>
      </w:r>
      <w:r w:rsidRPr="00CF4123">
        <w:rPr>
          <w:rFonts w:ascii="Verdana" w:hAnsi="Verdana" w:cs="Arial"/>
          <w:bCs/>
          <w:sz w:val="18"/>
          <w:szCs w:val="18"/>
          <w:lang w:val="en-GB" w:eastAsia="pl-PL"/>
        </w:rPr>
        <w:t xml:space="preserve"> 28 bond </w:t>
      </w:r>
      <w:r w:rsidR="00813972">
        <w:rPr>
          <w:rFonts w:ascii="Verdana" w:hAnsi="Verdana" w:cs="Arial"/>
          <w:bCs/>
          <w:sz w:val="18"/>
          <w:szCs w:val="18"/>
          <w:lang w:val="en-GB" w:eastAsia="pl-PL"/>
        </w:rPr>
        <w:t>issues</w:t>
      </w:r>
      <w:r w:rsidRPr="00CF4123">
        <w:rPr>
          <w:rFonts w:ascii="Verdana" w:hAnsi="Verdana" w:cs="Arial"/>
          <w:bCs/>
          <w:sz w:val="18"/>
          <w:szCs w:val="18"/>
          <w:lang w:val="en-GB" w:eastAsia="pl-PL"/>
        </w:rPr>
        <w:t xml:space="preserve"> were </w:t>
      </w:r>
      <w:r w:rsidR="00813972">
        <w:rPr>
          <w:rFonts w:ascii="Verdana" w:hAnsi="Verdana" w:cs="Arial"/>
          <w:bCs/>
          <w:sz w:val="18"/>
          <w:szCs w:val="18"/>
          <w:lang w:val="en-GB" w:eastAsia="pl-PL"/>
        </w:rPr>
        <w:t>introduced</w:t>
      </w:r>
      <w:r w:rsidRPr="00CF4123">
        <w:rPr>
          <w:rFonts w:ascii="Verdana" w:hAnsi="Verdana" w:cs="Arial"/>
          <w:bCs/>
          <w:sz w:val="18"/>
          <w:szCs w:val="18"/>
          <w:lang w:val="en-GB" w:eastAsia="pl-PL"/>
        </w:rPr>
        <w:t xml:space="preserve"> on Catalyst.</w:t>
      </w:r>
    </w:p>
    <w:p w14:paraId="5F37CB50" w14:textId="77777777" w:rsidR="000E1C86" w:rsidRPr="00CF4123" w:rsidRDefault="000E1C86" w:rsidP="000E1C86">
      <w:pPr>
        <w:spacing w:after="0"/>
        <w:jc w:val="both"/>
        <w:rPr>
          <w:rFonts w:ascii="Verdana" w:hAnsi="Verdana" w:cs="Arial"/>
          <w:bCs/>
          <w:sz w:val="18"/>
          <w:szCs w:val="18"/>
          <w:lang w:val="en-GB" w:eastAsia="pl-PL"/>
        </w:rPr>
      </w:pPr>
    </w:p>
    <w:p w14:paraId="2626BA7F" w14:textId="28225BC9" w:rsidR="00813972" w:rsidRPr="00CF4123" w:rsidRDefault="00813972" w:rsidP="00813972">
      <w:pPr>
        <w:spacing w:after="0"/>
        <w:rPr>
          <w:rFonts w:ascii="Verdana" w:hAnsi="Verdana" w:cs="Arial"/>
          <w:b/>
          <w:color w:val="5B9BD5" w:themeColor="accent1"/>
          <w:sz w:val="18"/>
          <w:szCs w:val="18"/>
          <w:lang w:val="en-GB" w:eastAsia="pl-PL"/>
        </w:rPr>
      </w:pPr>
      <w:r w:rsidRPr="00813972">
        <w:rPr>
          <w:rFonts w:ascii="Verdana" w:hAnsi="Verdana" w:cs="Arial"/>
          <w:b/>
          <w:color w:val="5B9BD5" w:themeColor="accent1"/>
          <w:sz w:val="18"/>
          <w:szCs w:val="18"/>
          <w:lang w:val="en-GB" w:eastAsia="pl-PL"/>
        </w:rPr>
        <w:t>Market development, new products</w:t>
      </w:r>
      <w:r>
        <w:rPr>
          <w:rFonts w:ascii="Verdana" w:hAnsi="Verdana" w:cs="Arial"/>
          <w:b/>
          <w:color w:val="5B9BD5" w:themeColor="accent1"/>
          <w:sz w:val="18"/>
          <w:szCs w:val="18"/>
          <w:lang w:val="en-GB" w:eastAsia="pl-PL"/>
        </w:rPr>
        <w:t>,</w:t>
      </w:r>
      <w:r w:rsidRPr="00813972">
        <w:rPr>
          <w:rFonts w:ascii="Verdana" w:hAnsi="Verdana" w:cs="Arial"/>
          <w:b/>
          <w:color w:val="5B9BD5" w:themeColor="accent1"/>
          <w:sz w:val="18"/>
          <w:szCs w:val="18"/>
          <w:lang w:val="en-GB" w:eastAsia="pl-PL"/>
        </w:rPr>
        <w:t xml:space="preserve"> implementation of </w:t>
      </w:r>
      <w:r>
        <w:rPr>
          <w:rFonts w:ascii="Verdana" w:hAnsi="Verdana" w:cs="Arial"/>
          <w:b/>
          <w:color w:val="5B9BD5" w:themeColor="accent1"/>
          <w:sz w:val="18"/>
          <w:szCs w:val="18"/>
          <w:lang w:val="en-GB" w:eastAsia="pl-PL"/>
        </w:rPr>
        <w:t>S</w:t>
      </w:r>
      <w:r w:rsidRPr="00813972">
        <w:rPr>
          <w:rFonts w:ascii="Verdana" w:hAnsi="Verdana" w:cs="Arial"/>
          <w:b/>
          <w:color w:val="5B9BD5" w:themeColor="accent1"/>
          <w:sz w:val="18"/>
          <w:szCs w:val="18"/>
          <w:lang w:val="en-GB" w:eastAsia="pl-PL"/>
        </w:rPr>
        <w:t xml:space="preserve">trategic </w:t>
      </w:r>
      <w:r>
        <w:rPr>
          <w:rFonts w:ascii="Verdana" w:hAnsi="Verdana" w:cs="Arial"/>
          <w:b/>
          <w:color w:val="5B9BD5" w:themeColor="accent1"/>
          <w:sz w:val="18"/>
          <w:szCs w:val="18"/>
          <w:lang w:val="en-GB" w:eastAsia="pl-PL"/>
        </w:rPr>
        <w:t>Directions</w:t>
      </w:r>
    </w:p>
    <w:p w14:paraId="0B7E5267" w14:textId="77777777" w:rsidR="000E1C86" w:rsidRPr="00CF4123" w:rsidRDefault="000E1C86" w:rsidP="000E1C86">
      <w:pPr>
        <w:spacing w:after="0"/>
        <w:jc w:val="both"/>
        <w:rPr>
          <w:rFonts w:ascii="Verdana" w:eastAsia="Times New Roman" w:hAnsi="Verdana" w:cs="Arial"/>
          <w:bCs/>
          <w:sz w:val="18"/>
          <w:szCs w:val="18"/>
          <w:lang w:val="en-GB" w:eastAsia="pl-PL"/>
        </w:rPr>
      </w:pPr>
    </w:p>
    <w:p w14:paraId="5360D5E1" w14:textId="32674D10" w:rsidR="00813972" w:rsidRPr="00CF4123" w:rsidRDefault="00813972" w:rsidP="000E1C86">
      <w:pPr>
        <w:spacing w:after="0"/>
        <w:jc w:val="both"/>
        <w:rPr>
          <w:rFonts w:ascii="Verdana" w:eastAsia="Times New Roman" w:hAnsi="Verdana" w:cs="Arial"/>
          <w:bCs/>
          <w:sz w:val="18"/>
          <w:szCs w:val="18"/>
          <w:lang w:val="en-GB" w:eastAsia="pl-PL"/>
        </w:rPr>
      </w:pPr>
      <w:r w:rsidRPr="00CF4123">
        <w:rPr>
          <w:rFonts w:ascii="Verdana" w:hAnsi="Verdana" w:cs="Arial"/>
          <w:sz w:val="18"/>
          <w:szCs w:val="18"/>
          <w:lang w:val="en-GB"/>
        </w:rPr>
        <w:t>2025 marked the first year of implementation of the GPW Group’s Strategic Development Directions for 2025–2027, which focus on the development of the capital market, creating value for shareholders</w:t>
      </w:r>
      <w:r w:rsidR="00673A56">
        <w:rPr>
          <w:rFonts w:ascii="Verdana" w:hAnsi="Verdana" w:cs="Arial"/>
          <w:sz w:val="18"/>
          <w:szCs w:val="18"/>
          <w:lang w:val="en-GB"/>
        </w:rPr>
        <w:t>,</w:t>
      </w:r>
      <w:r w:rsidRPr="00CF4123">
        <w:rPr>
          <w:rFonts w:ascii="Verdana" w:hAnsi="Verdana" w:cs="Arial"/>
          <w:sz w:val="18"/>
          <w:szCs w:val="18"/>
          <w:lang w:val="en-GB"/>
        </w:rPr>
        <w:t xml:space="preserve"> and modernising the technological infrastructure. These measures </w:t>
      </w:r>
      <w:r>
        <w:rPr>
          <w:rFonts w:ascii="Verdana" w:hAnsi="Verdana" w:cs="Arial"/>
          <w:sz w:val="18"/>
          <w:szCs w:val="18"/>
          <w:lang w:val="en-GB"/>
        </w:rPr>
        <w:t>represent</w:t>
      </w:r>
      <w:r w:rsidRPr="00CF4123">
        <w:rPr>
          <w:rFonts w:ascii="Verdana" w:hAnsi="Verdana" w:cs="Arial"/>
          <w:sz w:val="18"/>
          <w:szCs w:val="18"/>
          <w:lang w:val="en-GB"/>
        </w:rPr>
        <w:t xml:space="preserve"> a key element in strengthening the long-term competitiveness of the Polish capital market in the Central and Eastern European region and its role in financing the economy.</w:t>
      </w:r>
    </w:p>
    <w:p w14:paraId="12898F6D" w14:textId="77777777" w:rsidR="000E1C86" w:rsidRPr="00CF4123" w:rsidRDefault="000E1C86" w:rsidP="000E1C86">
      <w:pPr>
        <w:spacing w:after="0"/>
        <w:jc w:val="both"/>
        <w:rPr>
          <w:rFonts w:ascii="Verdana" w:hAnsi="Verdana" w:cs="Arial"/>
          <w:bCs/>
          <w:sz w:val="18"/>
          <w:szCs w:val="18"/>
          <w:lang w:val="en-GB" w:eastAsia="pl-PL"/>
        </w:rPr>
      </w:pPr>
    </w:p>
    <w:p w14:paraId="582A5C03" w14:textId="3A0460E5" w:rsidR="008E3675" w:rsidRPr="00CF4123" w:rsidRDefault="00673A56" w:rsidP="000E1C86">
      <w:pPr>
        <w:spacing w:after="0"/>
        <w:jc w:val="both"/>
        <w:rPr>
          <w:rFonts w:ascii="Verdana" w:hAnsi="Verdana" w:cs="Arial"/>
          <w:bCs/>
          <w:sz w:val="18"/>
          <w:szCs w:val="18"/>
          <w:lang w:val="en-GB" w:eastAsia="pl-PL"/>
        </w:rPr>
      </w:pPr>
      <w:r>
        <w:rPr>
          <w:rFonts w:ascii="Verdana" w:hAnsi="Verdana" w:cs="Arial"/>
          <w:sz w:val="18"/>
          <w:szCs w:val="18"/>
          <w:lang w:val="en-GB"/>
        </w:rPr>
        <w:t>T</w:t>
      </w:r>
      <w:r w:rsidR="008E3675" w:rsidRPr="00CF4123">
        <w:rPr>
          <w:rFonts w:ascii="Verdana" w:hAnsi="Verdana" w:cs="Arial"/>
          <w:sz w:val="18"/>
          <w:szCs w:val="18"/>
          <w:lang w:val="en-GB"/>
        </w:rPr>
        <w:t xml:space="preserve">he passive instruments segment on </w:t>
      </w:r>
      <w:r w:rsidR="008E3675">
        <w:rPr>
          <w:rFonts w:ascii="Verdana" w:hAnsi="Verdana" w:cs="Arial"/>
          <w:sz w:val="18"/>
          <w:szCs w:val="18"/>
          <w:lang w:val="en-GB"/>
        </w:rPr>
        <w:t>GPW</w:t>
      </w:r>
      <w:r w:rsidR="008E3675" w:rsidRPr="00CF4123">
        <w:rPr>
          <w:rFonts w:ascii="Verdana" w:hAnsi="Verdana" w:cs="Arial"/>
          <w:sz w:val="18"/>
          <w:szCs w:val="18"/>
          <w:lang w:val="en-GB"/>
        </w:rPr>
        <w:t xml:space="preserve"> grew rapidly</w:t>
      </w:r>
      <w:r>
        <w:rPr>
          <w:rFonts w:ascii="Verdana" w:hAnsi="Verdana" w:cs="Arial"/>
          <w:sz w:val="18"/>
          <w:szCs w:val="18"/>
          <w:lang w:val="en-GB"/>
        </w:rPr>
        <w:t xml:space="preserve"> in 2025</w:t>
      </w:r>
      <w:r w:rsidR="008E3675" w:rsidRPr="00CF4123">
        <w:rPr>
          <w:rFonts w:ascii="Verdana" w:hAnsi="Verdana" w:cs="Arial"/>
          <w:sz w:val="18"/>
          <w:szCs w:val="18"/>
          <w:lang w:val="en-GB"/>
        </w:rPr>
        <w:t xml:space="preserve">, reaching record-high </w:t>
      </w:r>
      <w:r w:rsidR="009C134D">
        <w:rPr>
          <w:rFonts w:ascii="Verdana" w:hAnsi="Verdana" w:cs="Arial"/>
          <w:sz w:val="18"/>
          <w:szCs w:val="18"/>
          <w:lang w:val="en-GB"/>
        </w:rPr>
        <w:t>turnover</w:t>
      </w:r>
      <w:r w:rsidR="008E3675" w:rsidRPr="00CF4123">
        <w:rPr>
          <w:rFonts w:ascii="Verdana" w:hAnsi="Verdana" w:cs="Arial"/>
          <w:sz w:val="18"/>
          <w:szCs w:val="18"/>
          <w:lang w:val="en-GB"/>
        </w:rPr>
        <w:t xml:space="preserve"> volumes. The growth of this market is supported by the increasing number of available products. </w:t>
      </w:r>
      <w:r w:rsidR="009C134D">
        <w:rPr>
          <w:rFonts w:ascii="Verdana" w:hAnsi="Verdana" w:cs="Arial"/>
          <w:sz w:val="18"/>
          <w:szCs w:val="18"/>
          <w:lang w:val="en-GB"/>
        </w:rPr>
        <w:t>Six</w:t>
      </w:r>
      <w:r w:rsidR="008E3675" w:rsidRPr="00CF4123">
        <w:rPr>
          <w:rFonts w:ascii="Verdana" w:hAnsi="Verdana" w:cs="Arial"/>
          <w:sz w:val="18"/>
          <w:szCs w:val="18"/>
          <w:lang w:val="en-GB"/>
        </w:rPr>
        <w:t xml:space="preserve"> new ETFs </w:t>
      </w:r>
      <w:r w:rsidR="009C134D">
        <w:rPr>
          <w:rFonts w:ascii="Verdana" w:hAnsi="Verdana" w:cs="Arial"/>
          <w:sz w:val="18"/>
          <w:szCs w:val="18"/>
          <w:lang w:val="en-GB"/>
        </w:rPr>
        <w:t>were listed</w:t>
      </w:r>
      <w:r w:rsidR="008E3675" w:rsidRPr="00CF4123">
        <w:rPr>
          <w:rFonts w:ascii="Verdana" w:hAnsi="Verdana" w:cs="Arial"/>
          <w:sz w:val="18"/>
          <w:szCs w:val="18"/>
          <w:lang w:val="en-GB"/>
        </w:rPr>
        <w:t xml:space="preserve"> on the Warsaw Stock Exchange</w:t>
      </w:r>
      <w:r w:rsidR="009C134D">
        <w:rPr>
          <w:rFonts w:ascii="Verdana" w:hAnsi="Verdana" w:cs="Arial"/>
          <w:sz w:val="18"/>
          <w:szCs w:val="18"/>
          <w:lang w:val="en-GB"/>
        </w:rPr>
        <w:t xml:space="preserve"> in 2025</w:t>
      </w:r>
      <w:r w:rsidR="008E3675" w:rsidRPr="00CF4123">
        <w:rPr>
          <w:rFonts w:ascii="Verdana" w:hAnsi="Verdana" w:cs="Arial"/>
          <w:sz w:val="18"/>
          <w:szCs w:val="18"/>
          <w:lang w:val="en-GB"/>
        </w:rPr>
        <w:t xml:space="preserve">, and a further eight were </w:t>
      </w:r>
      <w:r w:rsidR="009C134D">
        <w:rPr>
          <w:rFonts w:ascii="Verdana" w:hAnsi="Verdana" w:cs="Arial"/>
          <w:sz w:val="18"/>
          <w:szCs w:val="18"/>
          <w:lang w:val="en-GB"/>
        </w:rPr>
        <w:t xml:space="preserve">newly </w:t>
      </w:r>
      <w:r w:rsidR="008E3675" w:rsidRPr="00CF4123">
        <w:rPr>
          <w:rFonts w:ascii="Verdana" w:hAnsi="Verdana" w:cs="Arial"/>
          <w:sz w:val="18"/>
          <w:szCs w:val="18"/>
          <w:lang w:val="en-GB"/>
        </w:rPr>
        <w:t>listed</w:t>
      </w:r>
      <w:r w:rsidR="009C134D" w:rsidRPr="009C134D">
        <w:rPr>
          <w:rFonts w:ascii="Verdana" w:hAnsi="Verdana" w:cs="Arial"/>
          <w:sz w:val="18"/>
          <w:szCs w:val="18"/>
          <w:lang w:val="en-GB"/>
        </w:rPr>
        <w:t xml:space="preserve"> </w:t>
      </w:r>
      <w:r w:rsidR="009C134D" w:rsidRPr="00CF4123">
        <w:rPr>
          <w:rFonts w:ascii="Verdana" w:hAnsi="Verdana" w:cs="Arial"/>
          <w:sz w:val="18"/>
          <w:szCs w:val="18"/>
          <w:lang w:val="en-GB"/>
        </w:rPr>
        <w:t>in 2026</w:t>
      </w:r>
      <w:r w:rsidR="008E3675" w:rsidRPr="00CF4123">
        <w:rPr>
          <w:rFonts w:ascii="Verdana" w:hAnsi="Verdana" w:cs="Arial"/>
          <w:sz w:val="18"/>
          <w:szCs w:val="18"/>
          <w:lang w:val="en-GB"/>
        </w:rPr>
        <w:t xml:space="preserve">. The total number of ETFs, ETCs and ETNs listed on </w:t>
      </w:r>
      <w:r w:rsidR="001C01E6">
        <w:rPr>
          <w:rFonts w:ascii="Verdana" w:hAnsi="Verdana" w:cs="Arial"/>
          <w:sz w:val="18"/>
          <w:szCs w:val="18"/>
          <w:lang w:val="en-GB"/>
        </w:rPr>
        <w:t>GPW</w:t>
      </w:r>
      <w:r w:rsidR="008E3675" w:rsidRPr="00CF4123">
        <w:rPr>
          <w:rFonts w:ascii="Verdana" w:hAnsi="Verdana" w:cs="Arial"/>
          <w:sz w:val="18"/>
          <w:szCs w:val="18"/>
          <w:lang w:val="en-GB"/>
        </w:rPr>
        <w:t xml:space="preserve"> rose to 28 instruments, broadening the investment offering and increasing opportunities for portfolio diversification. The total value of trading in ETFs and ETCs on </w:t>
      </w:r>
      <w:r w:rsidR="001C01E6">
        <w:rPr>
          <w:rFonts w:ascii="Verdana" w:hAnsi="Verdana" w:cs="Arial"/>
          <w:sz w:val="18"/>
          <w:szCs w:val="18"/>
          <w:lang w:val="en-GB"/>
        </w:rPr>
        <w:t>GPW</w:t>
      </w:r>
      <w:r w:rsidR="008E3675" w:rsidRPr="00CF4123">
        <w:rPr>
          <w:rFonts w:ascii="Verdana" w:hAnsi="Verdana" w:cs="Arial"/>
          <w:sz w:val="18"/>
          <w:szCs w:val="18"/>
          <w:lang w:val="en-GB"/>
        </w:rPr>
        <w:t xml:space="preserve"> amounted to PLN 3.32 billion</w:t>
      </w:r>
      <w:r w:rsidR="001C01E6" w:rsidRPr="001C01E6">
        <w:rPr>
          <w:rFonts w:ascii="Verdana" w:hAnsi="Verdana" w:cs="Arial"/>
          <w:sz w:val="18"/>
          <w:szCs w:val="18"/>
          <w:lang w:val="en-GB"/>
        </w:rPr>
        <w:t xml:space="preserve"> </w:t>
      </w:r>
      <w:r w:rsidR="001C01E6" w:rsidRPr="00CF4123">
        <w:rPr>
          <w:rFonts w:ascii="Verdana" w:hAnsi="Verdana" w:cs="Arial"/>
          <w:sz w:val="18"/>
          <w:szCs w:val="18"/>
          <w:lang w:val="en-GB"/>
        </w:rPr>
        <w:t>in 2025</w:t>
      </w:r>
      <w:r w:rsidR="008E3675" w:rsidRPr="00CF4123">
        <w:rPr>
          <w:rFonts w:ascii="Verdana" w:hAnsi="Verdana" w:cs="Arial"/>
          <w:sz w:val="18"/>
          <w:szCs w:val="18"/>
          <w:lang w:val="en-GB"/>
        </w:rPr>
        <w:t>, representing a year-on-year increase of 121.5%. This dynamic upward trend continued into early 2026. In just the first two months</w:t>
      </w:r>
      <w:r w:rsidR="00094ED2">
        <w:rPr>
          <w:rFonts w:ascii="Verdana" w:hAnsi="Verdana" w:cs="Arial"/>
          <w:sz w:val="18"/>
          <w:szCs w:val="18"/>
          <w:lang w:val="en-GB"/>
        </w:rPr>
        <w:t xml:space="preserve"> of the year</w:t>
      </w:r>
      <w:r w:rsidR="008E3675" w:rsidRPr="00CF4123">
        <w:rPr>
          <w:rFonts w:ascii="Verdana" w:hAnsi="Verdana" w:cs="Arial"/>
          <w:sz w:val="18"/>
          <w:szCs w:val="18"/>
          <w:lang w:val="en-GB"/>
        </w:rPr>
        <w:t xml:space="preserve">, trading in ETFs and ETCs exceeded PLN 1.3 billion, a figure higher than the total </w:t>
      </w:r>
      <w:r w:rsidR="003C2172">
        <w:rPr>
          <w:rFonts w:ascii="Verdana" w:hAnsi="Verdana" w:cs="Arial"/>
          <w:sz w:val="18"/>
          <w:szCs w:val="18"/>
          <w:lang w:val="en-GB"/>
        </w:rPr>
        <w:t>turnover</w:t>
      </w:r>
      <w:r w:rsidR="008E3675" w:rsidRPr="00CF4123">
        <w:rPr>
          <w:rFonts w:ascii="Verdana" w:hAnsi="Verdana" w:cs="Arial"/>
          <w:sz w:val="18"/>
          <w:szCs w:val="18"/>
          <w:lang w:val="en-GB"/>
        </w:rPr>
        <w:t xml:space="preserve"> in these instruments for the whole of 2023.</w:t>
      </w:r>
    </w:p>
    <w:p w14:paraId="0BF9B72C" w14:textId="77777777" w:rsidR="000E1C86" w:rsidRPr="00CF4123" w:rsidRDefault="000E1C86" w:rsidP="000E1C86">
      <w:pPr>
        <w:spacing w:after="0"/>
        <w:jc w:val="both"/>
        <w:rPr>
          <w:rFonts w:ascii="Verdana" w:hAnsi="Verdana" w:cs="Arial"/>
          <w:bCs/>
          <w:sz w:val="18"/>
          <w:szCs w:val="18"/>
          <w:lang w:val="en-GB" w:eastAsia="pl-PL"/>
        </w:rPr>
      </w:pPr>
    </w:p>
    <w:p w14:paraId="12D043E2" w14:textId="70E8C2E7" w:rsidR="003C2172" w:rsidRPr="00CF4123" w:rsidRDefault="003C2172" w:rsidP="000E1C86">
      <w:pPr>
        <w:pStyle w:val="NormalWeb"/>
        <w:spacing w:before="0" w:beforeAutospacing="0" w:after="0" w:afterAutospacing="0" w:line="264" w:lineRule="auto"/>
        <w:jc w:val="both"/>
        <w:rPr>
          <w:rFonts w:ascii="Verdana" w:hAnsi="Verdana" w:cs="Arial"/>
          <w:bCs/>
          <w:sz w:val="18"/>
          <w:szCs w:val="18"/>
          <w:lang w:val="en-GB"/>
        </w:rPr>
      </w:pPr>
      <w:r w:rsidRPr="00CF4123">
        <w:rPr>
          <w:rFonts w:ascii="Verdana" w:hAnsi="Verdana" w:cs="Arial"/>
          <w:sz w:val="18"/>
          <w:szCs w:val="18"/>
          <w:lang w:val="en-GB"/>
        </w:rPr>
        <w:lastRenderedPageBreak/>
        <w:t xml:space="preserve">A </w:t>
      </w:r>
      <w:r w:rsidR="00966884">
        <w:rPr>
          <w:rFonts w:ascii="Verdana" w:hAnsi="Verdana" w:cs="Arial"/>
          <w:sz w:val="18"/>
          <w:szCs w:val="18"/>
          <w:lang w:val="en-GB"/>
        </w:rPr>
        <w:t>recovery</w:t>
      </w:r>
      <w:r w:rsidRPr="00CF4123">
        <w:rPr>
          <w:rFonts w:ascii="Verdana" w:hAnsi="Verdana" w:cs="Arial"/>
          <w:sz w:val="18"/>
          <w:szCs w:val="18"/>
          <w:lang w:val="en-GB"/>
        </w:rPr>
        <w:t xml:space="preserve"> was also evident last year on the Catalyst market. In 2025, non-treasury bonds worth PLN 33.4 billion were introduced to </w:t>
      </w:r>
      <w:r w:rsidR="00A5691B" w:rsidRPr="00CF4123">
        <w:rPr>
          <w:rFonts w:ascii="Verdana" w:hAnsi="Verdana" w:cs="Arial"/>
          <w:sz w:val="18"/>
          <w:szCs w:val="18"/>
          <w:lang w:val="en-GB"/>
        </w:rPr>
        <w:t>Catalyst</w:t>
      </w:r>
      <w:r w:rsidRPr="00CF4123">
        <w:rPr>
          <w:rFonts w:ascii="Verdana" w:hAnsi="Verdana" w:cs="Arial"/>
          <w:sz w:val="18"/>
          <w:szCs w:val="18"/>
          <w:lang w:val="en-GB"/>
        </w:rPr>
        <w:t xml:space="preserve">. The total value of bond issues listed on Catalyst now stands at PLN 154 billion. </w:t>
      </w:r>
      <w:r w:rsidR="00A5691B">
        <w:rPr>
          <w:rFonts w:ascii="Verdana" w:hAnsi="Verdana" w:cs="Arial"/>
          <w:sz w:val="18"/>
          <w:szCs w:val="18"/>
          <w:lang w:val="en-GB"/>
        </w:rPr>
        <w:t>R</w:t>
      </w:r>
      <w:r w:rsidRPr="00CF4123">
        <w:rPr>
          <w:rFonts w:ascii="Verdana" w:hAnsi="Verdana" w:cs="Arial"/>
          <w:sz w:val="18"/>
          <w:szCs w:val="18"/>
          <w:lang w:val="en-GB"/>
        </w:rPr>
        <w:t xml:space="preserve">etail </w:t>
      </w:r>
      <w:r w:rsidR="00A5691B">
        <w:rPr>
          <w:rFonts w:ascii="Verdana" w:hAnsi="Verdana" w:cs="Arial"/>
          <w:sz w:val="18"/>
          <w:szCs w:val="18"/>
          <w:lang w:val="en-GB"/>
        </w:rPr>
        <w:t>covered</w:t>
      </w:r>
      <w:r w:rsidRPr="00CF4123">
        <w:rPr>
          <w:rFonts w:ascii="Verdana" w:hAnsi="Verdana" w:cs="Arial"/>
          <w:sz w:val="18"/>
          <w:szCs w:val="18"/>
          <w:lang w:val="en-GB"/>
        </w:rPr>
        <w:t xml:space="preserve"> bonds from PKO Bank Hipoteczny worth PLN 1.155 billion </w:t>
      </w:r>
      <w:r w:rsidR="00A5691B">
        <w:rPr>
          <w:rFonts w:ascii="Verdana" w:hAnsi="Verdana" w:cs="Arial"/>
          <w:sz w:val="18"/>
          <w:szCs w:val="18"/>
          <w:lang w:val="en-GB"/>
        </w:rPr>
        <w:t>were newly listed on</w:t>
      </w:r>
      <w:r w:rsidRPr="00CF4123">
        <w:rPr>
          <w:rFonts w:ascii="Verdana" w:hAnsi="Verdana" w:cs="Arial"/>
          <w:sz w:val="18"/>
          <w:szCs w:val="18"/>
          <w:lang w:val="en-GB"/>
        </w:rPr>
        <w:t xml:space="preserve"> Catalyst market</w:t>
      </w:r>
      <w:r w:rsidR="00A5691B" w:rsidRPr="00A5691B">
        <w:rPr>
          <w:rFonts w:ascii="Verdana" w:hAnsi="Verdana" w:cs="Arial"/>
          <w:sz w:val="18"/>
          <w:szCs w:val="18"/>
          <w:lang w:val="en-GB"/>
        </w:rPr>
        <w:t xml:space="preserve"> </w:t>
      </w:r>
      <w:r w:rsidR="00A5691B">
        <w:rPr>
          <w:rFonts w:ascii="Verdana" w:hAnsi="Verdana" w:cs="Arial"/>
          <w:sz w:val="18"/>
          <w:szCs w:val="18"/>
          <w:lang w:val="en-GB"/>
        </w:rPr>
        <w:t xml:space="preserve">in </w:t>
      </w:r>
      <w:r w:rsidR="00A5691B" w:rsidRPr="00CF4123">
        <w:rPr>
          <w:rFonts w:ascii="Verdana" w:hAnsi="Verdana" w:cs="Arial"/>
          <w:sz w:val="18"/>
          <w:szCs w:val="18"/>
          <w:lang w:val="en-GB"/>
        </w:rPr>
        <w:t>October 2025</w:t>
      </w:r>
      <w:r w:rsidRPr="00CF4123">
        <w:rPr>
          <w:rFonts w:ascii="Verdana" w:hAnsi="Verdana" w:cs="Arial"/>
          <w:sz w:val="18"/>
          <w:szCs w:val="18"/>
          <w:lang w:val="en-GB"/>
        </w:rPr>
        <w:t xml:space="preserve">. These are the first </w:t>
      </w:r>
      <w:r w:rsidR="00AF3B97">
        <w:rPr>
          <w:rFonts w:ascii="Verdana" w:hAnsi="Verdana" w:cs="Arial"/>
          <w:sz w:val="18"/>
          <w:szCs w:val="18"/>
          <w:lang w:val="en-GB"/>
        </w:rPr>
        <w:t>retail covered bonds</w:t>
      </w:r>
      <w:r w:rsidRPr="00CF4123">
        <w:rPr>
          <w:rFonts w:ascii="Verdana" w:hAnsi="Verdana" w:cs="Arial"/>
          <w:sz w:val="18"/>
          <w:szCs w:val="18"/>
          <w:lang w:val="en-GB"/>
        </w:rPr>
        <w:t xml:space="preserve"> available to retail investors in nearly a century.</w:t>
      </w:r>
    </w:p>
    <w:p w14:paraId="1D4E4D6F" w14:textId="77777777" w:rsidR="000E1C86" w:rsidRPr="00CF4123" w:rsidRDefault="000E1C86" w:rsidP="000E1C86">
      <w:pPr>
        <w:pStyle w:val="NormalWeb"/>
        <w:spacing w:before="0" w:beforeAutospacing="0" w:after="0" w:afterAutospacing="0" w:line="264" w:lineRule="auto"/>
        <w:jc w:val="both"/>
        <w:rPr>
          <w:rFonts w:ascii="Verdana" w:hAnsi="Verdana" w:cs="Arial"/>
          <w:bCs/>
          <w:sz w:val="18"/>
          <w:szCs w:val="18"/>
          <w:lang w:val="en-GB"/>
        </w:rPr>
      </w:pPr>
    </w:p>
    <w:p w14:paraId="1718F6C0" w14:textId="748B0370" w:rsidR="00AF3B97" w:rsidRPr="00CF4123" w:rsidRDefault="00AF3B97" w:rsidP="000E1C86">
      <w:pPr>
        <w:spacing w:after="0"/>
        <w:jc w:val="both"/>
        <w:rPr>
          <w:rFonts w:ascii="Verdana" w:hAnsi="Verdana" w:cs="Arial"/>
          <w:bCs/>
          <w:sz w:val="18"/>
          <w:szCs w:val="18"/>
          <w:lang w:val="en-GB" w:eastAsia="pl-PL"/>
        </w:rPr>
      </w:pPr>
      <w:r w:rsidRPr="00CF4123">
        <w:rPr>
          <w:rFonts w:ascii="Verdana" w:hAnsi="Verdana" w:cs="Arial"/>
          <w:sz w:val="18"/>
          <w:szCs w:val="18"/>
          <w:lang w:val="en-GB"/>
        </w:rPr>
        <w:t xml:space="preserve">The GlobalConnect market also </w:t>
      </w:r>
      <w:r>
        <w:rPr>
          <w:rFonts w:ascii="Verdana" w:hAnsi="Verdana" w:cs="Arial"/>
          <w:sz w:val="18"/>
          <w:szCs w:val="18"/>
          <w:lang w:val="en-GB"/>
        </w:rPr>
        <w:t>grew</w:t>
      </w:r>
      <w:r w:rsidRPr="00CF4123">
        <w:rPr>
          <w:rFonts w:ascii="Verdana" w:hAnsi="Verdana" w:cs="Arial"/>
          <w:sz w:val="18"/>
          <w:szCs w:val="18"/>
          <w:lang w:val="en-GB"/>
        </w:rPr>
        <w:t xml:space="preserve">, with shares of 13 global companies – including </w:t>
      </w:r>
      <w:r>
        <w:rPr>
          <w:rFonts w:ascii="Verdana" w:hAnsi="Verdana" w:cs="Arial"/>
          <w:sz w:val="18"/>
          <w:szCs w:val="18"/>
          <w:lang w:val="en-GB"/>
        </w:rPr>
        <w:t>stocks</w:t>
      </w:r>
      <w:r w:rsidRPr="00CF4123">
        <w:rPr>
          <w:rFonts w:ascii="Verdana" w:hAnsi="Verdana" w:cs="Arial"/>
          <w:sz w:val="18"/>
          <w:szCs w:val="18"/>
          <w:lang w:val="en-GB"/>
        </w:rPr>
        <w:t xml:space="preserve"> from Denmark, Sweden, the US</w:t>
      </w:r>
      <w:r w:rsidR="00966884">
        <w:rPr>
          <w:rFonts w:ascii="Verdana" w:hAnsi="Verdana" w:cs="Arial"/>
          <w:sz w:val="18"/>
          <w:szCs w:val="18"/>
          <w:lang w:val="en-GB"/>
        </w:rPr>
        <w:t>,</w:t>
      </w:r>
      <w:r w:rsidRPr="00CF4123">
        <w:rPr>
          <w:rFonts w:ascii="Verdana" w:hAnsi="Verdana" w:cs="Arial"/>
          <w:sz w:val="18"/>
          <w:szCs w:val="18"/>
          <w:lang w:val="en-GB"/>
        </w:rPr>
        <w:t xml:space="preserve"> and Germany – </w:t>
      </w:r>
      <w:r>
        <w:rPr>
          <w:rFonts w:ascii="Verdana" w:hAnsi="Verdana" w:cs="Arial"/>
          <w:sz w:val="18"/>
          <w:szCs w:val="18"/>
          <w:lang w:val="en-GB"/>
        </w:rPr>
        <w:t>newly listed</w:t>
      </w:r>
      <w:r w:rsidRPr="00CF4123">
        <w:rPr>
          <w:rFonts w:ascii="Verdana" w:hAnsi="Verdana" w:cs="Arial"/>
          <w:sz w:val="18"/>
          <w:szCs w:val="18"/>
          <w:lang w:val="en-GB"/>
        </w:rPr>
        <w:t xml:space="preserve"> in 2025. These </w:t>
      </w:r>
      <w:r>
        <w:rPr>
          <w:rFonts w:ascii="Verdana" w:hAnsi="Verdana" w:cs="Arial"/>
          <w:sz w:val="18"/>
          <w:szCs w:val="18"/>
          <w:lang w:val="en-GB"/>
        </w:rPr>
        <w:t>stocks</w:t>
      </w:r>
      <w:r w:rsidRPr="00CF4123">
        <w:rPr>
          <w:rFonts w:ascii="Verdana" w:hAnsi="Verdana" w:cs="Arial"/>
          <w:sz w:val="18"/>
          <w:szCs w:val="18"/>
          <w:lang w:val="en-GB"/>
        </w:rPr>
        <w:t xml:space="preserve"> are </w:t>
      </w:r>
      <w:r w:rsidR="00966884">
        <w:rPr>
          <w:rFonts w:ascii="Verdana" w:hAnsi="Verdana" w:cs="Arial"/>
          <w:sz w:val="18"/>
          <w:szCs w:val="18"/>
          <w:lang w:val="en-GB"/>
        </w:rPr>
        <w:t>traded</w:t>
      </w:r>
      <w:r w:rsidRPr="00CF4123">
        <w:rPr>
          <w:rFonts w:ascii="Verdana" w:hAnsi="Verdana" w:cs="Arial"/>
          <w:sz w:val="18"/>
          <w:szCs w:val="18"/>
          <w:lang w:val="en-GB"/>
        </w:rPr>
        <w:t xml:space="preserve"> in </w:t>
      </w:r>
      <w:r>
        <w:rPr>
          <w:rFonts w:ascii="Verdana" w:hAnsi="Verdana" w:cs="Arial"/>
          <w:sz w:val="18"/>
          <w:szCs w:val="18"/>
          <w:lang w:val="en-GB"/>
        </w:rPr>
        <w:t>PLN</w:t>
      </w:r>
      <w:r w:rsidRPr="00CF4123">
        <w:rPr>
          <w:rFonts w:ascii="Verdana" w:hAnsi="Verdana" w:cs="Arial"/>
          <w:sz w:val="18"/>
          <w:szCs w:val="18"/>
          <w:lang w:val="en-GB"/>
        </w:rPr>
        <w:t xml:space="preserve"> and facilitate investors’ access to international markets without </w:t>
      </w:r>
      <w:r w:rsidR="00966884">
        <w:rPr>
          <w:rFonts w:ascii="Verdana" w:hAnsi="Verdana" w:cs="Arial"/>
          <w:sz w:val="18"/>
          <w:szCs w:val="18"/>
          <w:lang w:val="en-GB"/>
        </w:rPr>
        <w:t>paying</w:t>
      </w:r>
      <w:r w:rsidRPr="00CF4123">
        <w:rPr>
          <w:rFonts w:ascii="Verdana" w:hAnsi="Verdana" w:cs="Arial"/>
          <w:sz w:val="18"/>
          <w:szCs w:val="18"/>
          <w:lang w:val="en-GB"/>
        </w:rPr>
        <w:t xml:space="preserve"> currency conversion costs.</w:t>
      </w:r>
    </w:p>
    <w:p w14:paraId="16937FD1" w14:textId="77777777" w:rsidR="000E1C86" w:rsidRPr="00CF4123" w:rsidRDefault="000E1C86" w:rsidP="000E1C86">
      <w:pPr>
        <w:spacing w:after="0"/>
        <w:jc w:val="both"/>
        <w:rPr>
          <w:rFonts w:ascii="Verdana" w:hAnsi="Verdana" w:cs="Arial"/>
          <w:bCs/>
          <w:sz w:val="18"/>
          <w:szCs w:val="18"/>
          <w:lang w:val="en-GB" w:eastAsia="pl-PL"/>
        </w:rPr>
      </w:pPr>
    </w:p>
    <w:p w14:paraId="7F619723" w14:textId="140FD5ED" w:rsidR="00574CA7" w:rsidRPr="00CF4123" w:rsidRDefault="00AF3B97" w:rsidP="000E1C86">
      <w:pPr>
        <w:pStyle w:val="NormalWeb"/>
        <w:spacing w:before="0" w:beforeAutospacing="0" w:after="0" w:afterAutospacing="0" w:line="264" w:lineRule="auto"/>
        <w:jc w:val="both"/>
        <w:rPr>
          <w:rFonts w:ascii="Verdana" w:hAnsi="Verdana" w:cs="Arial"/>
          <w:sz w:val="18"/>
          <w:szCs w:val="18"/>
          <w:lang w:val="en-GB"/>
        </w:rPr>
      </w:pPr>
      <w:r>
        <w:rPr>
          <w:rFonts w:ascii="Verdana" w:hAnsi="Verdana" w:cs="Arial"/>
          <w:sz w:val="18"/>
          <w:szCs w:val="18"/>
          <w:lang w:val="en-GB"/>
        </w:rPr>
        <w:t>As regards</w:t>
      </w:r>
      <w:r w:rsidRPr="00CF4123">
        <w:rPr>
          <w:rFonts w:ascii="Verdana" w:hAnsi="Verdana" w:cs="Arial"/>
          <w:sz w:val="18"/>
          <w:szCs w:val="18"/>
          <w:lang w:val="en-GB"/>
        </w:rPr>
        <w:t xml:space="preserve"> technological infrastructure, the GPW WATS trading system remained a key project. Intensive functional, security, integration</w:t>
      </w:r>
      <w:r w:rsidR="00966884">
        <w:rPr>
          <w:rFonts w:ascii="Verdana" w:hAnsi="Verdana" w:cs="Arial"/>
          <w:sz w:val="18"/>
          <w:szCs w:val="18"/>
          <w:lang w:val="en-GB"/>
        </w:rPr>
        <w:t>,</w:t>
      </w:r>
      <w:r w:rsidRPr="00CF4123">
        <w:rPr>
          <w:rFonts w:ascii="Verdana" w:hAnsi="Verdana" w:cs="Arial"/>
          <w:sz w:val="18"/>
          <w:szCs w:val="18"/>
          <w:lang w:val="en-GB"/>
        </w:rPr>
        <w:t xml:space="preserve"> and performance tests were conducted in cooperation with Exchange Members</w:t>
      </w:r>
      <w:r w:rsidR="005663E8">
        <w:rPr>
          <w:rFonts w:ascii="Verdana" w:hAnsi="Verdana" w:cs="Arial"/>
          <w:sz w:val="18"/>
          <w:szCs w:val="18"/>
          <w:lang w:val="en-GB"/>
        </w:rPr>
        <w:t xml:space="preserve"> in 2025</w:t>
      </w:r>
      <w:r w:rsidRPr="00CF4123">
        <w:rPr>
          <w:rFonts w:ascii="Verdana" w:hAnsi="Verdana" w:cs="Arial"/>
          <w:sz w:val="18"/>
          <w:szCs w:val="18"/>
          <w:lang w:val="en-GB"/>
        </w:rPr>
        <w:t xml:space="preserve">. Based on the test results, the system implementation schedule was updated, adjusting it to ensure full stability and security of the platform at the time of launch. The final </w:t>
      </w:r>
      <w:r w:rsidR="005663E8">
        <w:rPr>
          <w:rFonts w:ascii="Verdana" w:hAnsi="Verdana" w:cs="Arial"/>
          <w:sz w:val="18"/>
          <w:szCs w:val="18"/>
          <w:lang w:val="en-GB"/>
        </w:rPr>
        <w:t>roll-out</w:t>
      </w:r>
      <w:r w:rsidRPr="00CF4123">
        <w:rPr>
          <w:rFonts w:ascii="Verdana" w:hAnsi="Verdana" w:cs="Arial"/>
          <w:sz w:val="18"/>
          <w:szCs w:val="18"/>
          <w:lang w:val="en-GB"/>
        </w:rPr>
        <w:t xml:space="preserve"> date for GPW WATS will depend on the state of technological readiness and the results of the </w:t>
      </w:r>
      <w:r w:rsidR="000F4C4A">
        <w:rPr>
          <w:rFonts w:ascii="Verdana" w:hAnsi="Verdana" w:cs="Arial"/>
          <w:sz w:val="18"/>
          <w:szCs w:val="18"/>
          <w:lang w:val="en-GB"/>
        </w:rPr>
        <w:t>dress rehearsals</w:t>
      </w:r>
      <w:r w:rsidRPr="00CF4123">
        <w:rPr>
          <w:rFonts w:ascii="Verdana" w:hAnsi="Verdana" w:cs="Arial"/>
          <w:sz w:val="18"/>
          <w:szCs w:val="18"/>
          <w:lang w:val="en-GB"/>
        </w:rPr>
        <w:t xml:space="preserve"> conducted with market participants. GPW WATS remains a strategic project aimed at providing a scalable and modern infrastructure to support the further development of the capital market.</w:t>
      </w:r>
    </w:p>
    <w:p w14:paraId="632D404B" w14:textId="77777777" w:rsidR="000E1C86" w:rsidRPr="00CF4123" w:rsidRDefault="000E1C86" w:rsidP="000E1C86">
      <w:pPr>
        <w:pStyle w:val="NormalWeb"/>
        <w:spacing w:before="0" w:beforeAutospacing="0" w:after="0" w:afterAutospacing="0" w:line="264" w:lineRule="auto"/>
        <w:jc w:val="both"/>
        <w:rPr>
          <w:rFonts w:ascii="Verdana" w:hAnsi="Verdana" w:cs="Arial"/>
          <w:sz w:val="18"/>
          <w:szCs w:val="18"/>
          <w:lang w:val="en-GB"/>
        </w:rPr>
      </w:pPr>
    </w:p>
    <w:p w14:paraId="51480E02" w14:textId="7A890474" w:rsidR="000F4C4A" w:rsidRPr="00CF4123" w:rsidRDefault="000F4C4A" w:rsidP="000E1C86">
      <w:pPr>
        <w:spacing w:after="0"/>
        <w:jc w:val="both"/>
        <w:rPr>
          <w:rFonts w:ascii="Verdana" w:hAnsi="Verdana" w:cs="Arial"/>
          <w:bCs/>
          <w:sz w:val="18"/>
          <w:szCs w:val="18"/>
          <w:lang w:val="en-GB" w:eastAsia="pl-PL"/>
        </w:rPr>
      </w:pPr>
      <w:r>
        <w:rPr>
          <w:rFonts w:ascii="Verdana" w:hAnsi="Verdana" w:cs="Arial"/>
          <w:bCs/>
          <w:sz w:val="18"/>
          <w:szCs w:val="18"/>
          <w:lang w:val="en-GB" w:eastAsia="pl-PL"/>
        </w:rPr>
        <w:t>“</w:t>
      </w:r>
      <w:r w:rsidRPr="00030030">
        <w:rPr>
          <w:rFonts w:ascii="Verdana" w:hAnsi="Verdana" w:cs="Arial"/>
          <w:i/>
          <w:iCs/>
          <w:sz w:val="18"/>
          <w:szCs w:val="18"/>
          <w:lang w:val="en-GB"/>
        </w:rPr>
        <w:t xml:space="preserve">The year 2025 confirmed the effectiveness of the New Strategic Directions </w:t>
      </w:r>
      <w:r w:rsidR="00C13DA7" w:rsidRPr="00030030">
        <w:rPr>
          <w:rFonts w:ascii="Verdana" w:hAnsi="Verdana" w:cs="Arial"/>
          <w:i/>
          <w:iCs/>
          <w:sz w:val="18"/>
          <w:szCs w:val="18"/>
          <w:lang w:val="en-GB"/>
        </w:rPr>
        <w:t>now under implementation</w:t>
      </w:r>
      <w:r w:rsidRPr="00030030">
        <w:rPr>
          <w:rFonts w:ascii="Verdana" w:hAnsi="Verdana" w:cs="Arial"/>
          <w:i/>
          <w:iCs/>
          <w:sz w:val="18"/>
          <w:szCs w:val="18"/>
          <w:lang w:val="en-GB"/>
        </w:rPr>
        <w:t xml:space="preserve"> and the resilience of the Group’s business model. Our Strategy focuses on two complementary pillars</w:t>
      </w:r>
      <w:r w:rsidR="00962347" w:rsidRPr="00030030">
        <w:rPr>
          <w:rFonts w:ascii="Verdana" w:hAnsi="Verdana" w:cs="Arial"/>
          <w:i/>
          <w:iCs/>
          <w:sz w:val="18"/>
          <w:szCs w:val="18"/>
          <w:lang w:val="en-GB"/>
        </w:rPr>
        <w:t>:</w:t>
      </w:r>
      <w:r w:rsidRPr="00030030">
        <w:rPr>
          <w:rFonts w:ascii="Verdana" w:hAnsi="Verdana" w:cs="Arial"/>
          <w:i/>
          <w:iCs/>
          <w:sz w:val="18"/>
          <w:szCs w:val="18"/>
          <w:lang w:val="en-GB"/>
        </w:rPr>
        <w:t xml:space="preserve"> the development of the capital market and the creation of value for stakeholders and shareholders. Under the first pillar, we took an active part in consultations on the Personal Investment Accounts</w:t>
      </w:r>
      <w:r w:rsidR="00962347" w:rsidRPr="00030030">
        <w:rPr>
          <w:rFonts w:ascii="Verdana" w:hAnsi="Verdana" w:cs="Arial"/>
          <w:i/>
          <w:iCs/>
          <w:sz w:val="18"/>
          <w:szCs w:val="18"/>
          <w:lang w:val="en-GB"/>
        </w:rPr>
        <w:t xml:space="preserve"> (OKI)</w:t>
      </w:r>
      <w:r w:rsidRPr="00030030">
        <w:rPr>
          <w:rFonts w:ascii="Verdana" w:hAnsi="Verdana" w:cs="Arial"/>
          <w:i/>
          <w:iCs/>
          <w:sz w:val="18"/>
          <w:szCs w:val="18"/>
          <w:lang w:val="en-GB"/>
        </w:rPr>
        <w:t xml:space="preserve"> project, which we believe will be a breakthrough for the market. We implemented a number of initiatives aimed at attracting new issuers, including the first edition of the </w:t>
      </w:r>
      <w:r w:rsidR="007563E8" w:rsidRPr="00030030">
        <w:rPr>
          <w:rFonts w:ascii="Verdana" w:hAnsi="Verdana" w:cs="Arial"/>
          <w:i/>
          <w:iCs/>
          <w:sz w:val="18"/>
          <w:szCs w:val="18"/>
          <w:lang w:val="en-GB"/>
        </w:rPr>
        <w:t>GPW</w:t>
      </w:r>
      <w:r w:rsidRPr="00030030">
        <w:rPr>
          <w:rFonts w:ascii="Verdana" w:hAnsi="Verdana" w:cs="Arial"/>
          <w:i/>
          <w:iCs/>
          <w:sz w:val="18"/>
          <w:szCs w:val="18"/>
          <w:lang w:val="en-GB"/>
        </w:rPr>
        <w:t xml:space="preserve"> IPO Academy</w:t>
      </w:r>
      <w:r w:rsidR="00C13DA7" w:rsidRPr="00030030">
        <w:rPr>
          <w:rFonts w:ascii="Verdana" w:hAnsi="Verdana" w:cs="Arial"/>
          <w:i/>
          <w:iCs/>
          <w:sz w:val="18"/>
          <w:szCs w:val="18"/>
          <w:lang w:val="en-GB"/>
        </w:rPr>
        <w:t>,</w:t>
      </w:r>
      <w:r w:rsidRPr="00030030">
        <w:rPr>
          <w:rFonts w:ascii="Verdana" w:hAnsi="Verdana" w:cs="Arial"/>
          <w:i/>
          <w:iCs/>
          <w:sz w:val="18"/>
          <w:szCs w:val="18"/>
          <w:lang w:val="en-GB"/>
        </w:rPr>
        <w:t xml:space="preserve"> and activities supporting existing issuers, such as a record-breaking edition of the Analytical Coverage Support Programme. </w:t>
      </w:r>
      <w:r w:rsidR="007563E8" w:rsidRPr="00030030">
        <w:rPr>
          <w:rFonts w:ascii="Verdana" w:hAnsi="Verdana" w:cs="Arial"/>
          <w:i/>
          <w:iCs/>
          <w:sz w:val="18"/>
          <w:szCs w:val="18"/>
          <w:lang w:val="en-GB"/>
        </w:rPr>
        <w:t>With regard to</w:t>
      </w:r>
      <w:r w:rsidRPr="00030030">
        <w:rPr>
          <w:rFonts w:ascii="Verdana" w:hAnsi="Verdana" w:cs="Arial"/>
          <w:i/>
          <w:iCs/>
          <w:sz w:val="18"/>
          <w:szCs w:val="18"/>
          <w:lang w:val="en-GB"/>
        </w:rPr>
        <w:t xml:space="preserve"> product </w:t>
      </w:r>
      <w:r w:rsidR="007563E8" w:rsidRPr="00030030">
        <w:rPr>
          <w:rFonts w:ascii="Verdana" w:hAnsi="Verdana" w:cs="Arial"/>
          <w:i/>
          <w:iCs/>
          <w:sz w:val="18"/>
          <w:szCs w:val="18"/>
          <w:lang w:val="en-GB"/>
        </w:rPr>
        <w:t>development</w:t>
      </w:r>
      <w:r w:rsidRPr="00030030">
        <w:rPr>
          <w:rFonts w:ascii="Verdana" w:hAnsi="Verdana" w:cs="Arial"/>
          <w:i/>
          <w:iCs/>
          <w:sz w:val="18"/>
          <w:szCs w:val="18"/>
          <w:lang w:val="en-GB"/>
        </w:rPr>
        <w:t xml:space="preserve">, we placed particular emphasis on developing the ETF offering. The number of ETFs on </w:t>
      </w:r>
      <w:r w:rsidR="00CA66FA" w:rsidRPr="00030030">
        <w:rPr>
          <w:rFonts w:ascii="Verdana" w:hAnsi="Verdana" w:cs="Arial"/>
          <w:i/>
          <w:iCs/>
          <w:sz w:val="18"/>
          <w:szCs w:val="18"/>
          <w:lang w:val="en-GB"/>
        </w:rPr>
        <w:t>GPW</w:t>
      </w:r>
      <w:r w:rsidRPr="00030030">
        <w:rPr>
          <w:rFonts w:ascii="Verdana" w:hAnsi="Verdana" w:cs="Arial"/>
          <w:i/>
          <w:iCs/>
          <w:sz w:val="18"/>
          <w:szCs w:val="18"/>
          <w:lang w:val="en-GB"/>
        </w:rPr>
        <w:t xml:space="preserve"> is now twice as high as it was at the start of 2025. Our promotional activities, </w:t>
      </w:r>
      <w:r w:rsidR="00CA66FA" w:rsidRPr="00030030">
        <w:rPr>
          <w:rFonts w:ascii="Verdana" w:hAnsi="Verdana" w:cs="Arial"/>
          <w:i/>
          <w:iCs/>
          <w:sz w:val="18"/>
          <w:szCs w:val="18"/>
          <w:lang w:val="en-GB"/>
        </w:rPr>
        <w:t>spearheaded</w:t>
      </w:r>
      <w:r w:rsidRPr="00030030">
        <w:rPr>
          <w:rFonts w:ascii="Verdana" w:hAnsi="Verdana" w:cs="Arial"/>
          <w:i/>
          <w:iCs/>
          <w:sz w:val="18"/>
          <w:szCs w:val="18"/>
          <w:lang w:val="en-GB"/>
        </w:rPr>
        <w:t xml:space="preserve"> by the nationwide GPW 24/7 campaign on large-format screens in Poland’s largest cities, have made the Warsaw Stock Exchange more visible </w:t>
      </w:r>
      <w:r w:rsidR="00CA66FA" w:rsidRPr="00030030">
        <w:rPr>
          <w:rFonts w:ascii="Verdana" w:hAnsi="Verdana" w:cs="Arial"/>
          <w:i/>
          <w:iCs/>
          <w:sz w:val="18"/>
          <w:szCs w:val="18"/>
          <w:lang w:val="en-GB"/>
        </w:rPr>
        <w:t>to the general</w:t>
      </w:r>
      <w:r w:rsidRPr="00030030">
        <w:rPr>
          <w:rFonts w:ascii="Verdana" w:hAnsi="Verdana" w:cs="Arial"/>
          <w:i/>
          <w:iCs/>
          <w:sz w:val="18"/>
          <w:szCs w:val="18"/>
          <w:lang w:val="en-GB"/>
        </w:rPr>
        <w:t xml:space="preserve"> public</w:t>
      </w:r>
      <w:r w:rsidR="00CA66FA" w:rsidRPr="00030030">
        <w:rPr>
          <w:rFonts w:ascii="Verdana" w:hAnsi="Verdana" w:cs="Arial"/>
          <w:i/>
          <w:iCs/>
          <w:sz w:val="18"/>
          <w:szCs w:val="18"/>
          <w:lang w:val="en-GB"/>
        </w:rPr>
        <w:t>,</w:t>
      </w:r>
      <w:r w:rsidR="00CA66FA" w:rsidRPr="00030030">
        <w:rPr>
          <w:rFonts w:ascii="Verdana" w:hAnsi="Verdana" w:cs="Arial"/>
          <w:sz w:val="18"/>
          <w:szCs w:val="18"/>
          <w:lang w:val="en-GB"/>
        </w:rPr>
        <w:t>”</w:t>
      </w:r>
      <w:r w:rsidR="00CA66FA">
        <w:rPr>
          <w:rFonts w:ascii="Verdana" w:hAnsi="Verdana" w:cs="Arial"/>
          <w:sz w:val="18"/>
          <w:szCs w:val="18"/>
          <w:lang w:val="en-GB"/>
        </w:rPr>
        <w:t xml:space="preserve"> said</w:t>
      </w:r>
      <w:r w:rsidRPr="00CF4123">
        <w:rPr>
          <w:rFonts w:ascii="Verdana" w:hAnsi="Verdana" w:cs="Arial"/>
          <w:sz w:val="18"/>
          <w:szCs w:val="18"/>
          <w:lang w:val="en-GB"/>
        </w:rPr>
        <w:t xml:space="preserve"> Tomasz Bardziłowski, </w:t>
      </w:r>
      <w:r w:rsidR="00CA66FA">
        <w:rPr>
          <w:rFonts w:ascii="Verdana" w:hAnsi="Verdana" w:cs="Arial"/>
          <w:sz w:val="18"/>
          <w:szCs w:val="18"/>
          <w:lang w:val="en-GB"/>
        </w:rPr>
        <w:t>President</w:t>
      </w:r>
      <w:r w:rsidRPr="00CF4123">
        <w:rPr>
          <w:rFonts w:ascii="Verdana" w:hAnsi="Verdana" w:cs="Arial"/>
          <w:sz w:val="18"/>
          <w:szCs w:val="18"/>
          <w:lang w:val="en-GB"/>
        </w:rPr>
        <w:t xml:space="preserve"> of the Management Board of the Warsaw Stock Exchange.</w:t>
      </w:r>
    </w:p>
    <w:p w14:paraId="591B9BCE" w14:textId="77777777" w:rsidR="000E1C86" w:rsidRPr="00CF4123" w:rsidRDefault="000E1C86" w:rsidP="000E1C86">
      <w:pPr>
        <w:pStyle w:val="NormalWeb"/>
        <w:spacing w:before="0" w:beforeAutospacing="0" w:after="0" w:afterAutospacing="0" w:line="264" w:lineRule="auto"/>
        <w:jc w:val="both"/>
        <w:rPr>
          <w:rFonts w:ascii="Verdana" w:hAnsi="Verdana" w:cs="Arial"/>
          <w:sz w:val="18"/>
          <w:szCs w:val="18"/>
          <w:lang w:val="en-GB"/>
        </w:rPr>
      </w:pPr>
    </w:p>
    <w:p w14:paraId="34E36176" w14:textId="7A12C746" w:rsidR="00CF4123" w:rsidRPr="00CF4123" w:rsidRDefault="00CF4123" w:rsidP="00CA66FA">
      <w:pPr>
        <w:pStyle w:val="NormalWeb"/>
        <w:spacing w:before="0" w:beforeAutospacing="0" w:after="0" w:afterAutospacing="0" w:line="264" w:lineRule="auto"/>
        <w:jc w:val="both"/>
        <w:rPr>
          <w:rFonts w:ascii="Verdana" w:hAnsi="Verdana" w:cs="Arial"/>
          <w:sz w:val="18"/>
          <w:szCs w:val="18"/>
          <w:lang w:val="en-GB"/>
        </w:rPr>
      </w:pPr>
      <w:r w:rsidRPr="00CF4123">
        <w:rPr>
          <w:rFonts w:ascii="Verdana" w:hAnsi="Verdana" w:cs="Arial"/>
          <w:sz w:val="18"/>
          <w:szCs w:val="18"/>
          <w:lang w:val="en-GB"/>
        </w:rPr>
        <w:t xml:space="preserve">The Group continued its educational activities </w:t>
      </w:r>
      <w:r w:rsidR="00030030">
        <w:rPr>
          <w:rFonts w:ascii="Verdana" w:hAnsi="Verdana" w:cs="Arial"/>
          <w:sz w:val="18"/>
          <w:szCs w:val="18"/>
          <w:lang w:val="en-GB"/>
        </w:rPr>
        <w:t>addressed to</w:t>
      </w:r>
      <w:r w:rsidRPr="00CF4123">
        <w:rPr>
          <w:rFonts w:ascii="Verdana" w:hAnsi="Verdana" w:cs="Arial"/>
          <w:sz w:val="18"/>
          <w:szCs w:val="18"/>
          <w:lang w:val="en-GB"/>
        </w:rPr>
        <w:t xml:space="preserve"> retail investors, carried out through the </w:t>
      </w:r>
      <w:r w:rsidR="003A3AE6">
        <w:rPr>
          <w:rFonts w:ascii="Verdana" w:hAnsi="Verdana" w:cs="Arial"/>
          <w:sz w:val="18"/>
          <w:szCs w:val="18"/>
          <w:lang w:val="en-GB"/>
        </w:rPr>
        <w:t>GPW</w:t>
      </w:r>
      <w:r w:rsidRPr="00CF4123">
        <w:rPr>
          <w:rFonts w:ascii="Verdana" w:hAnsi="Verdana" w:cs="Arial"/>
          <w:sz w:val="18"/>
          <w:szCs w:val="18"/>
          <w:lang w:val="en-GB"/>
        </w:rPr>
        <w:t xml:space="preserve"> Foundation. The GPW FutureBridge programme was implemented</w:t>
      </w:r>
      <w:r w:rsidR="003A3AE6">
        <w:rPr>
          <w:rFonts w:ascii="Verdana" w:hAnsi="Verdana" w:cs="Arial"/>
          <w:sz w:val="18"/>
          <w:szCs w:val="18"/>
          <w:lang w:val="en-GB"/>
        </w:rPr>
        <w:t>:</w:t>
      </w:r>
      <w:r w:rsidRPr="00CF4123">
        <w:rPr>
          <w:rFonts w:ascii="Verdana" w:hAnsi="Verdana" w:cs="Arial"/>
          <w:sz w:val="18"/>
          <w:szCs w:val="18"/>
          <w:lang w:val="en-GB"/>
        </w:rPr>
        <w:t xml:space="preserve"> an executive leadership initiative </w:t>
      </w:r>
      <w:r w:rsidR="00B83A0D">
        <w:rPr>
          <w:rFonts w:ascii="Verdana" w:hAnsi="Verdana" w:cs="Arial"/>
          <w:sz w:val="18"/>
          <w:szCs w:val="18"/>
          <w:lang w:val="en-GB"/>
        </w:rPr>
        <w:t>dedicated to</w:t>
      </w:r>
      <w:r w:rsidRPr="00CF4123">
        <w:rPr>
          <w:rFonts w:ascii="Verdana" w:hAnsi="Verdana" w:cs="Arial"/>
          <w:sz w:val="18"/>
          <w:szCs w:val="18"/>
          <w:lang w:val="en-GB"/>
        </w:rPr>
        <w:t xml:space="preserve"> female leaders</w:t>
      </w:r>
      <w:r w:rsidR="003A3AE6">
        <w:rPr>
          <w:rFonts w:ascii="Verdana" w:hAnsi="Verdana" w:cs="Arial"/>
          <w:sz w:val="18"/>
          <w:szCs w:val="18"/>
          <w:lang w:val="en-GB"/>
        </w:rPr>
        <w:t>, aiming</w:t>
      </w:r>
      <w:r w:rsidRPr="00CF4123">
        <w:rPr>
          <w:rFonts w:ascii="Verdana" w:hAnsi="Verdana" w:cs="Arial"/>
          <w:sz w:val="18"/>
          <w:szCs w:val="18"/>
          <w:lang w:val="en-GB"/>
        </w:rPr>
        <w:t xml:space="preserve"> to strengthen managerial skills and systematically prepare participants to take up </w:t>
      </w:r>
      <w:r w:rsidR="00B83A0D">
        <w:rPr>
          <w:rFonts w:ascii="Verdana" w:hAnsi="Verdana" w:cs="Arial"/>
          <w:sz w:val="18"/>
          <w:szCs w:val="18"/>
          <w:lang w:val="en-GB"/>
        </w:rPr>
        <w:t>top</w:t>
      </w:r>
      <w:r w:rsidRPr="00CF4123">
        <w:rPr>
          <w:rFonts w:ascii="Verdana" w:hAnsi="Verdana" w:cs="Arial"/>
          <w:sz w:val="18"/>
          <w:szCs w:val="18"/>
          <w:lang w:val="en-GB"/>
        </w:rPr>
        <w:t xml:space="preserve"> decision-making positions in the financial sector and on the capital market.</w:t>
      </w:r>
    </w:p>
    <w:p w14:paraId="1C0D29EF" w14:textId="77777777" w:rsidR="00E72E63" w:rsidRPr="00CF4123" w:rsidRDefault="00E72E63" w:rsidP="000E1C86">
      <w:pPr>
        <w:pStyle w:val="NormalWeb"/>
        <w:spacing w:before="0" w:beforeAutospacing="0" w:after="0" w:afterAutospacing="0" w:line="264" w:lineRule="auto"/>
        <w:jc w:val="both"/>
        <w:rPr>
          <w:rFonts w:ascii="Verdana" w:hAnsi="Verdana" w:cs="Arial"/>
          <w:sz w:val="18"/>
          <w:szCs w:val="18"/>
          <w:lang w:val="en-GB"/>
        </w:rPr>
      </w:pPr>
    </w:p>
    <w:p w14:paraId="40715DC6" w14:textId="77777777" w:rsidR="00E72E63" w:rsidRPr="00CF4123" w:rsidRDefault="00E72E63" w:rsidP="000E1C86">
      <w:pPr>
        <w:pStyle w:val="NormalWeb"/>
        <w:spacing w:before="0" w:beforeAutospacing="0" w:after="0" w:afterAutospacing="0" w:line="264" w:lineRule="auto"/>
        <w:jc w:val="both"/>
        <w:rPr>
          <w:rFonts w:ascii="Verdana" w:hAnsi="Verdana" w:cs="Arial"/>
          <w:sz w:val="18"/>
          <w:szCs w:val="18"/>
          <w:lang w:val="en-GB"/>
        </w:rPr>
      </w:pPr>
    </w:p>
    <w:p w14:paraId="3B5B3658" w14:textId="77777777" w:rsidR="000D07FA" w:rsidRPr="00CF4123" w:rsidRDefault="000D07FA" w:rsidP="000E1C86">
      <w:pPr>
        <w:pStyle w:val="NormalWeb"/>
        <w:spacing w:before="0" w:beforeAutospacing="0" w:after="0" w:afterAutospacing="0" w:line="264" w:lineRule="auto"/>
        <w:jc w:val="both"/>
        <w:rPr>
          <w:rFonts w:ascii="Verdana" w:hAnsi="Verdana" w:cs="Arial"/>
          <w:sz w:val="18"/>
          <w:szCs w:val="18"/>
          <w:lang w:val="en-GB"/>
        </w:rPr>
      </w:pPr>
    </w:p>
    <w:p w14:paraId="058F8657" w14:textId="77777777" w:rsidR="00905AE1" w:rsidRPr="00CF4123" w:rsidRDefault="00905AE1" w:rsidP="00905AE1">
      <w:pPr>
        <w:spacing w:after="0" w:line="240" w:lineRule="atLeast"/>
        <w:jc w:val="center"/>
        <w:rPr>
          <w:rFonts w:ascii="Verdana" w:hAnsi="Verdana" w:cs="Arial"/>
          <w:sz w:val="16"/>
          <w:szCs w:val="16"/>
          <w:lang w:val="en-GB"/>
        </w:rPr>
      </w:pPr>
      <w:r w:rsidRPr="00CF4123">
        <w:rPr>
          <w:rFonts w:ascii="Verdana" w:hAnsi="Verdana" w:cs="Arial"/>
          <w:sz w:val="16"/>
          <w:szCs w:val="16"/>
          <w:lang w:val="en-GB"/>
        </w:rPr>
        <w:t>***</w:t>
      </w:r>
    </w:p>
    <w:p w14:paraId="6E217917" w14:textId="77777777" w:rsidR="00905AE1" w:rsidRPr="00CF4123" w:rsidRDefault="00905AE1" w:rsidP="00905AE1">
      <w:pPr>
        <w:spacing w:after="0" w:line="22" w:lineRule="atLeast"/>
        <w:jc w:val="both"/>
        <w:rPr>
          <w:rFonts w:ascii="Arial" w:eastAsia="Calibri" w:hAnsi="Arial" w:cs="Arial"/>
          <w:b/>
          <w:bCs/>
          <w:color w:val="666666"/>
          <w:sz w:val="14"/>
          <w:szCs w:val="16"/>
          <w:lang w:val="en-GB" w:eastAsia="pl-PL"/>
        </w:rPr>
      </w:pPr>
    </w:p>
    <w:p w14:paraId="553A7AFD" w14:textId="77777777" w:rsidR="00905AE1" w:rsidRPr="00CF4123" w:rsidRDefault="00905AE1" w:rsidP="00905AE1">
      <w:pPr>
        <w:spacing w:after="0" w:line="22" w:lineRule="atLeast"/>
        <w:jc w:val="both"/>
        <w:rPr>
          <w:rFonts w:ascii="Arial" w:eastAsia="Calibri" w:hAnsi="Arial" w:cs="Arial"/>
          <w:b/>
          <w:bCs/>
          <w:color w:val="666666"/>
          <w:sz w:val="14"/>
          <w:szCs w:val="16"/>
          <w:lang w:val="en-GB" w:eastAsia="pl-PL"/>
        </w:rPr>
      </w:pPr>
    </w:p>
    <w:p w14:paraId="767E9350" w14:textId="77777777" w:rsidR="00E72E63" w:rsidRPr="00CF4123" w:rsidRDefault="00E72E63" w:rsidP="00905AE1">
      <w:pPr>
        <w:spacing w:after="0" w:line="22" w:lineRule="atLeast"/>
        <w:jc w:val="both"/>
        <w:rPr>
          <w:rFonts w:ascii="Arial" w:eastAsia="Calibri" w:hAnsi="Arial" w:cs="Arial"/>
          <w:b/>
          <w:bCs/>
          <w:color w:val="666666"/>
          <w:sz w:val="14"/>
          <w:szCs w:val="16"/>
          <w:lang w:val="en-GB" w:eastAsia="pl-PL"/>
        </w:rPr>
      </w:pPr>
    </w:p>
    <w:p w14:paraId="09592592" w14:textId="77777777" w:rsidR="000D07FA" w:rsidRPr="00CF4123" w:rsidRDefault="000D07FA" w:rsidP="00905AE1">
      <w:pPr>
        <w:spacing w:after="0" w:line="22" w:lineRule="atLeast"/>
        <w:jc w:val="both"/>
        <w:rPr>
          <w:rFonts w:ascii="Arial" w:eastAsia="Calibri" w:hAnsi="Arial" w:cs="Arial"/>
          <w:b/>
          <w:bCs/>
          <w:color w:val="666666"/>
          <w:sz w:val="14"/>
          <w:szCs w:val="16"/>
          <w:lang w:val="en-GB" w:eastAsia="pl-PL"/>
        </w:rPr>
      </w:pPr>
    </w:p>
    <w:p w14:paraId="73B5697C" w14:textId="119CA280" w:rsidR="003452BF" w:rsidRPr="00CF4123" w:rsidRDefault="003452BF" w:rsidP="00905AE1">
      <w:pPr>
        <w:spacing w:after="0" w:line="22" w:lineRule="atLeast"/>
        <w:jc w:val="both"/>
        <w:rPr>
          <w:rFonts w:ascii="Arial" w:eastAsia="Calibri" w:hAnsi="Arial" w:cs="Arial"/>
          <w:bCs/>
          <w:color w:val="666666"/>
          <w:sz w:val="14"/>
          <w:szCs w:val="16"/>
          <w:lang w:val="en-GB" w:eastAsia="pl-PL"/>
        </w:rPr>
      </w:pPr>
      <w:r w:rsidRPr="00304C3C">
        <w:rPr>
          <w:rFonts w:ascii="Arial" w:eastAsia="Calibri" w:hAnsi="Arial" w:cs="Arial"/>
          <w:b/>
          <w:color w:val="666666"/>
          <w:sz w:val="14"/>
          <w:szCs w:val="16"/>
          <w:lang w:val="en-GB" w:eastAsia="pl-PL"/>
        </w:rPr>
        <w:t xml:space="preserve">The Warsaw Stock Exchange Group (GPW Group) </w:t>
      </w:r>
      <w:r w:rsidRPr="00304C3C">
        <w:rPr>
          <w:rFonts w:ascii="Arial" w:eastAsia="Calibri" w:hAnsi="Arial" w:cs="Arial"/>
          <w:bCs/>
          <w:color w:val="666666"/>
          <w:sz w:val="14"/>
          <w:szCs w:val="16"/>
          <w:lang w:val="en-GB" w:eastAsia="pl-PL"/>
        </w:rPr>
        <w:t xml:space="preserve">is a leading operator of capital and commodity market infrastructure in Central and Eastern Europe. The Group includes the Warsaw Stock Exchange (GPW), Towarowa Giełda Energii (TGE), GPW Benchmark, BondSpot, and other companies. GPW operates regulated markets for equities, debt, derivatives, commodities, as well as the alternative trading system NewConnect. GPW offers services including trading, clearing, market data, indices and benchmarks. GPW is a public company listed on the Warsaw Stock Exchange since 2010. Its mission is to support the development of the economy, ensure efficient and secure access to capital, and promote long-term investment. In 2025, the main indices of the Warsaw Stock Exchange ranked among the best performing indices globally, gaining more than 47% over the year. </w:t>
      </w:r>
      <w:r>
        <w:rPr>
          <w:rFonts w:ascii="Arial" w:eastAsia="Calibri" w:hAnsi="Arial" w:cs="Arial"/>
          <w:bCs/>
          <w:color w:val="666666"/>
          <w:sz w:val="14"/>
          <w:szCs w:val="16"/>
          <w:lang w:val="en-GB" w:eastAsia="pl-PL"/>
        </w:rPr>
        <w:t xml:space="preserve">In January and February 2026, WIG gained 8.1%. </w:t>
      </w:r>
      <w:r w:rsidRPr="00304C3C">
        <w:rPr>
          <w:rFonts w:ascii="Arial" w:eastAsia="Calibri" w:hAnsi="Arial" w:cs="Arial"/>
          <w:bCs/>
          <w:color w:val="666666"/>
          <w:sz w:val="14"/>
          <w:szCs w:val="16"/>
          <w:lang w:val="en-GB" w:eastAsia="pl-PL"/>
        </w:rPr>
        <w:t xml:space="preserve">For more information, visit </w:t>
      </w:r>
      <w:hyperlink r:id="rId9" w:history="1">
        <w:r w:rsidRPr="00304C3C">
          <w:rPr>
            <w:rStyle w:val="Hyperlink"/>
            <w:rFonts w:ascii="Arial" w:eastAsia="Calibri" w:hAnsi="Arial" w:cs="Arial"/>
            <w:bCs/>
            <w:sz w:val="14"/>
            <w:szCs w:val="16"/>
            <w:lang w:val="en-GB" w:eastAsia="pl-PL"/>
          </w:rPr>
          <w:t>www.gpw.pl</w:t>
        </w:r>
      </w:hyperlink>
      <w:r w:rsidRPr="00304C3C">
        <w:rPr>
          <w:rFonts w:ascii="Arial" w:eastAsia="Calibri" w:hAnsi="Arial" w:cs="Arial"/>
          <w:bCs/>
          <w:color w:val="666666"/>
          <w:sz w:val="14"/>
          <w:szCs w:val="16"/>
          <w:lang w:val="en-GB" w:eastAsia="pl-PL"/>
        </w:rPr>
        <w:t xml:space="preserve">   </w:t>
      </w:r>
    </w:p>
    <w:p w14:paraId="2695E9BD" w14:textId="77777777" w:rsidR="00905AE1" w:rsidRPr="00CF4123" w:rsidRDefault="00905AE1" w:rsidP="00905AE1">
      <w:pPr>
        <w:spacing w:after="0" w:line="22" w:lineRule="atLeast"/>
        <w:jc w:val="both"/>
        <w:rPr>
          <w:rFonts w:ascii="Arial" w:eastAsia="Calibri" w:hAnsi="Arial" w:cs="Arial"/>
          <w:bCs/>
          <w:color w:val="666666"/>
          <w:sz w:val="14"/>
          <w:szCs w:val="16"/>
          <w:lang w:val="en-GB" w:eastAsia="pl-PL"/>
        </w:rPr>
      </w:pPr>
    </w:p>
    <w:p w14:paraId="6034B327" w14:textId="77777777" w:rsidR="00905AE1" w:rsidRPr="00CF4123" w:rsidRDefault="00905AE1" w:rsidP="00905AE1">
      <w:pPr>
        <w:spacing w:after="0" w:line="276" w:lineRule="auto"/>
        <w:jc w:val="both"/>
        <w:rPr>
          <w:rFonts w:ascii="Verdana" w:hAnsi="Verdana" w:cs="Tahoma"/>
          <w:color w:val="808080" w:themeColor="background1" w:themeShade="80"/>
          <w:sz w:val="18"/>
          <w:szCs w:val="18"/>
          <w:lang w:val="en-GB"/>
        </w:rPr>
      </w:pPr>
    </w:p>
    <w:p w14:paraId="60C9C18C" w14:textId="77777777" w:rsidR="00905AE1" w:rsidRPr="00CF4123" w:rsidRDefault="00905AE1" w:rsidP="00905AE1">
      <w:pPr>
        <w:tabs>
          <w:tab w:val="left" w:pos="2520"/>
        </w:tabs>
        <w:spacing w:after="0" w:line="264" w:lineRule="auto"/>
        <w:rPr>
          <w:rFonts w:ascii="Verdana" w:eastAsia="Times New Roman" w:hAnsi="Verdana" w:cs="Arial"/>
          <w:bCs/>
          <w:color w:val="000000" w:themeColor="text1"/>
          <w:sz w:val="18"/>
          <w:szCs w:val="18"/>
          <w:lang w:val="en-GB" w:eastAsia="pl-PL"/>
        </w:rPr>
        <w:sectPr w:rsidR="00905AE1" w:rsidRPr="00CF4123" w:rsidSect="00905AE1">
          <w:headerReference w:type="default" r:id="rId10"/>
          <w:footerReference w:type="default" r:id="rId11"/>
          <w:type w:val="continuous"/>
          <w:pgSz w:w="11906" w:h="16838"/>
          <w:pgMar w:top="1417" w:right="1417" w:bottom="1417" w:left="1417" w:header="708" w:footer="708" w:gutter="0"/>
          <w:cols w:space="708"/>
          <w:docGrid w:linePitch="360"/>
        </w:sectPr>
      </w:pPr>
    </w:p>
    <w:p w14:paraId="371304A8" w14:textId="77777777" w:rsidR="00905AE1" w:rsidRPr="00CF4123" w:rsidRDefault="00905AE1" w:rsidP="00905AE1">
      <w:pPr>
        <w:tabs>
          <w:tab w:val="left" w:pos="2520"/>
        </w:tabs>
        <w:spacing w:after="0"/>
        <w:rPr>
          <w:rFonts w:ascii="Verdana" w:hAnsi="Verdana" w:cs="Arial"/>
          <w:color w:val="595959" w:themeColor="text1" w:themeTint="A6"/>
          <w:sz w:val="18"/>
          <w:szCs w:val="18"/>
          <w:lang w:val="en-GB"/>
        </w:rPr>
      </w:pPr>
    </w:p>
    <w:p w14:paraId="51D7F411" w14:textId="77777777" w:rsidR="00E72E63" w:rsidRPr="00CF4123" w:rsidRDefault="00E72E63" w:rsidP="00905AE1">
      <w:pPr>
        <w:tabs>
          <w:tab w:val="left" w:pos="2520"/>
        </w:tabs>
        <w:spacing w:after="0"/>
        <w:rPr>
          <w:rFonts w:ascii="Verdana" w:hAnsi="Verdana" w:cs="Arial"/>
          <w:color w:val="595959" w:themeColor="text1" w:themeTint="A6"/>
          <w:sz w:val="18"/>
          <w:szCs w:val="18"/>
          <w:lang w:val="en-GB"/>
        </w:rPr>
      </w:pPr>
    </w:p>
    <w:p w14:paraId="6FA670FA" w14:textId="77777777" w:rsidR="00905AE1" w:rsidRPr="00CF4123" w:rsidRDefault="00905AE1" w:rsidP="00905AE1">
      <w:pPr>
        <w:tabs>
          <w:tab w:val="left" w:pos="2520"/>
        </w:tabs>
        <w:spacing w:after="0" w:line="264" w:lineRule="auto"/>
        <w:rPr>
          <w:rFonts w:ascii="Verdana" w:eastAsia="Times New Roman" w:hAnsi="Verdana" w:cs="Arial"/>
          <w:bCs/>
          <w:color w:val="000000" w:themeColor="text1"/>
          <w:sz w:val="18"/>
          <w:szCs w:val="18"/>
          <w:lang w:val="en-GB" w:eastAsia="pl-PL"/>
        </w:rPr>
      </w:pPr>
    </w:p>
    <w:p w14:paraId="5F491FC1" w14:textId="2EF602E7" w:rsidR="00905AE1" w:rsidRPr="00CF4123" w:rsidRDefault="003C53D0" w:rsidP="00905AE1">
      <w:pPr>
        <w:tabs>
          <w:tab w:val="left" w:pos="2520"/>
        </w:tabs>
        <w:spacing w:after="0"/>
        <w:rPr>
          <w:rFonts w:ascii="Verdana" w:eastAsia="Times New Roman" w:hAnsi="Verdana" w:cs="Arial"/>
          <w:b/>
          <w:color w:val="000000" w:themeColor="text1"/>
          <w:sz w:val="18"/>
          <w:szCs w:val="18"/>
          <w:lang w:val="en-GB" w:eastAsia="pl-PL"/>
        </w:rPr>
      </w:pPr>
      <w:r>
        <w:rPr>
          <w:rFonts w:ascii="Verdana" w:eastAsia="Times New Roman" w:hAnsi="Verdana" w:cs="Arial"/>
          <w:b/>
          <w:color w:val="000000" w:themeColor="text1"/>
          <w:sz w:val="18"/>
          <w:szCs w:val="18"/>
          <w:lang w:val="en-GB" w:eastAsia="pl-PL"/>
        </w:rPr>
        <w:t>Media contact</w:t>
      </w:r>
      <w:r w:rsidR="00905AE1" w:rsidRPr="00CF4123">
        <w:rPr>
          <w:rFonts w:ascii="Verdana" w:eastAsia="Times New Roman" w:hAnsi="Verdana" w:cs="Arial"/>
          <w:b/>
          <w:color w:val="000000" w:themeColor="text1"/>
          <w:sz w:val="18"/>
          <w:szCs w:val="18"/>
          <w:lang w:val="en-GB" w:eastAsia="pl-PL"/>
        </w:rPr>
        <w:t>:</w:t>
      </w:r>
    </w:p>
    <w:p w14:paraId="13540F8D" w14:textId="77777777" w:rsidR="00905AE1" w:rsidRPr="00CF4123" w:rsidRDefault="00905AE1" w:rsidP="00905AE1">
      <w:pPr>
        <w:tabs>
          <w:tab w:val="left" w:pos="2520"/>
        </w:tabs>
        <w:spacing w:after="0" w:line="264" w:lineRule="auto"/>
        <w:rPr>
          <w:rFonts w:ascii="Verdana" w:hAnsi="Verdana" w:cs="Arial"/>
          <w:color w:val="000000" w:themeColor="text1"/>
          <w:sz w:val="18"/>
          <w:szCs w:val="18"/>
          <w:lang w:val="en-GB"/>
        </w:rPr>
        <w:sectPr w:rsidR="00905AE1" w:rsidRPr="00CF4123" w:rsidSect="00905AE1">
          <w:headerReference w:type="default" r:id="rId12"/>
          <w:footerReference w:type="default" r:id="rId13"/>
          <w:type w:val="continuous"/>
          <w:pgSz w:w="11906" w:h="16838"/>
          <w:pgMar w:top="1417" w:right="1417" w:bottom="1417" w:left="1417" w:header="708" w:footer="708" w:gutter="0"/>
          <w:cols w:space="708"/>
          <w:docGrid w:linePitch="360"/>
        </w:sectPr>
      </w:pPr>
    </w:p>
    <w:p w14:paraId="1AE53EEF" w14:textId="77777777" w:rsidR="00905AE1" w:rsidRPr="00CF4123" w:rsidRDefault="00905AE1" w:rsidP="00905AE1">
      <w:pPr>
        <w:tabs>
          <w:tab w:val="left" w:pos="2520"/>
        </w:tabs>
        <w:spacing w:after="0" w:line="264" w:lineRule="auto"/>
        <w:rPr>
          <w:rFonts w:ascii="Verdana" w:eastAsia="Times New Roman" w:hAnsi="Verdana" w:cs="Arial"/>
          <w:bCs/>
          <w:color w:val="000000" w:themeColor="text1"/>
          <w:sz w:val="18"/>
          <w:szCs w:val="18"/>
          <w:lang w:val="en-GB" w:eastAsia="pl-PL"/>
        </w:rPr>
      </w:pPr>
    </w:p>
    <w:p w14:paraId="67AC1ED4" w14:textId="77777777" w:rsidR="00905AE1" w:rsidRPr="00CF4123" w:rsidRDefault="00905AE1" w:rsidP="00905AE1">
      <w:pPr>
        <w:tabs>
          <w:tab w:val="left" w:pos="2520"/>
        </w:tabs>
        <w:spacing w:after="0" w:line="264" w:lineRule="auto"/>
        <w:rPr>
          <w:rFonts w:ascii="Verdana" w:eastAsia="Times New Roman" w:hAnsi="Verdana" w:cs="Arial"/>
          <w:bCs/>
          <w:color w:val="000000" w:themeColor="text1"/>
          <w:sz w:val="18"/>
          <w:szCs w:val="18"/>
          <w:lang w:val="en-GB" w:eastAsia="pl-PL"/>
        </w:rPr>
        <w:sectPr w:rsidR="00905AE1" w:rsidRPr="00CF4123" w:rsidSect="00905AE1">
          <w:headerReference w:type="default" r:id="rId14"/>
          <w:footerReference w:type="default" r:id="rId15"/>
          <w:type w:val="continuous"/>
          <w:pgSz w:w="11906" w:h="16838"/>
          <w:pgMar w:top="1417" w:right="1417" w:bottom="1417" w:left="1417" w:header="708" w:footer="708" w:gutter="0"/>
          <w:cols w:space="708"/>
          <w:docGrid w:linePitch="360"/>
        </w:sectPr>
      </w:pPr>
    </w:p>
    <w:p w14:paraId="51279A35" w14:textId="77777777" w:rsidR="00905AE1" w:rsidRPr="00CF4123" w:rsidRDefault="00905AE1" w:rsidP="00905AE1">
      <w:pPr>
        <w:tabs>
          <w:tab w:val="left" w:pos="2520"/>
        </w:tabs>
        <w:spacing w:after="0" w:line="264" w:lineRule="auto"/>
        <w:rPr>
          <w:rFonts w:ascii="Verdana" w:eastAsia="Times New Roman" w:hAnsi="Verdana" w:cs="Arial"/>
          <w:bCs/>
          <w:color w:val="000000" w:themeColor="text1"/>
          <w:sz w:val="18"/>
          <w:szCs w:val="18"/>
          <w:lang w:val="en-GB" w:eastAsia="pl-PL"/>
        </w:rPr>
      </w:pPr>
      <w:r w:rsidRPr="00CF4123">
        <w:rPr>
          <w:rFonts w:ascii="Verdana" w:eastAsia="Times New Roman" w:hAnsi="Verdana" w:cs="Arial"/>
          <w:bCs/>
          <w:color w:val="000000" w:themeColor="text1"/>
          <w:sz w:val="18"/>
          <w:szCs w:val="18"/>
          <w:lang w:val="en-GB" w:eastAsia="pl-PL"/>
        </w:rPr>
        <w:t>Szymon Korpanty</w:t>
      </w:r>
    </w:p>
    <w:p w14:paraId="29E28CB2" w14:textId="68B19D83" w:rsidR="00ED0B3B" w:rsidRPr="00304C3C" w:rsidRDefault="00ED0B3B" w:rsidP="00ED0B3B">
      <w:pPr>
        <w:tabs>
          <w:tab w:val="left" w:pos="2520"/>
        </w:tabs>
        <w:spacing w:after="0" w:line="264" w:lineRule="auto"/>
        <w:rPr>
          <w:rFonts w:ascii="Verdana" w:eastAsia="Times New Roman" w:hAnsi="Verdana" w:cs="Arial"/>
          <w:bCs/>
          <w:color w:val="000000" w:themeColor="text1"/>
          <w:sz w:val="18"/>
          <w:szCs w:val="18"/>
          <w:lang w:val="en-GB" w:eastAsia="pl-PL"/>
        </w:rPr>
      </w:pPr>
      <w:r w:rsidRPr="00304C3C">
        <w:rPr>
          <w:rFonts w:ascii="Verdana" w:eastAsia="Times New Roman" w:hAnsi="Verdana" w:cs="Arial"/>
          <w:bCs/>
          <w:color w:val="000000" w:themeColor="text1"/>
          <w:sz w:val="18"/>
          <w:szCs w:val="18"/>
          <w:lang w:val="en-GB" w:eastAsia="pl-PL"/>
        </w:rPr>
        <w:t xml:space="preserve">GPW Communication &amp; Marketing </w:t>
      </w:r>
    </w:p>
    <w:p w14:paraId="65BA6EA9" w14:textId="733C3F49" w:rsidR="00905AE1" w:rsidRPr="00CF4123" w:rsidRDefault="00ED0B3B" w:rsidP="00ED0B3B">
      <w:pPr>
        <w:tabs>
          <w:tab w:val="left" w:pos="2520"/>
        </w:tabs>
        <w:spacing w:after="0" w:line="264" w:lineRule="auto"/>
        <w:rPr>
          <w:rFonts w:ascii="Verdana" w:eastAsia="Times New Roman" w:hAnsi="Verdana" w:cs="Arial"/>
          <w:bCs/>
          <w:color w:val="000000" w:themeColor="text1"/>
          <w:sz w:val="18"/>
          <w:szCs w:val="18"/>
          <w:lang w:val="en-GB" w:eastAsia="pl-PL"/>
        </w:rPr>
      </w:pPr>
      <w:r w:rsidRPr="00304C3C">
        <w:rPr>
          <w:rFonts w:ascii="Verdana" w:eastAsia="Times New Roman" w:hAnsi="Verdana" w:cs="Arial"/>
          <w:bCs/>
          <w:color w:val="000000" w:themeColor="text1"/>
          <w:sz w:val="18"/>
          <w:szCs w:val="18"/>
          <w:lang w:val="en-GB" w:eastAsia="pl-PL"/>
        </w:rPr>
        <w:t xml:space="preserve">mobile </w:t>
      </w:r>
      <w:r w:rsidR="00905AE1" w:rsidRPr="00CF4123">
        <w:rPr>
          <w:rFonts w:ascii="Verdana" w:eastAsia="Times New Roman" w:hAnsi="Verdana" w:cs="Arial"/>
          <w:bCs/>
          <w:color w:val="000000" w:themeColor="text1"/>
          <w:sz w:val="18"/>
          <w:szCs w:val="18"/>
          <w:lang w:val="en-GB" w:eastAsia="pl-PL"/>
        </w:rPr>
        <w:t xml:space="preserve">+48 785 585 577 </w:t>
      </w:r>
    </w:p>
    <w:p w14:paraId="3C3435D1" w14:textId="77777777" w:rsidR="00905AE1" w:rsidRPr="00CF4123" w:rsidRDefault="00905AE1" w:rsidP="00905AE1">
      <w:pPr>
        <w:tabs>
          <w:tab w:val="left" w:pos="2520"/>
        </w:tabs>
        <w:spacing w:after="0" w:line="264" w:lineRule="auto"/>
        <w:rPr>
          <w:rFonts w:ascii="Verdana" w:hAnsi="Verdana" w:cs="Arial"/>
          <w:color w:val="000000" w:themeColor="text1"/>
          <w:sz w:val="18"/>
          <w:szCs w:val="18"/>
          <w:lang w:val="en-GB"/>
        </w:rPr>
      </w:pPr>
      <w:r w:rsidRPr="00CF4123">
        <w:rPr>
          <w:rFonts w:ascii="Verdana" w:eastAsia="Times New Roman" w:hAnsi="Verdana" w:cs="Arial"/>
          <w:bCs/>
          <w:color w:val="000000" w:themeColor="text1"/>
          <w:sz w:val="18"/>
          <w:szCs w:val="18"/>
          <w:lang w:val="en-GB" w:eastAsia="pl-PL"/>
        </w:rPr>
        <w:t xml:space="preserve">press@gpw.pl  </w:t>
      </w:r>
    </w:p>
    <w:p w14:paraId="3A016666" w14:textId="77777777" w:rsidR="00905AE1" w:rsidRPr="00CF4123" w:rsidRDefault="00905AE1" w:rsidP="00905AE1">
      <w:pPr>
        <w:tabs>
          <w:tab w:val="left" w:pos="2520"/>
        </w:tabs>
        <w:spacing w:after="0" w:line="264" w:lineRule="auto"/>
        <w:rPr>
          <w:rFonts w:ascii="Verdana" w:hAnsi="Verdana" w:cs="Arial"/>
          <w:color w:val="000000" w:themeColor="text1"/>
          <w:sz w:val="18"/>
          <w:szCs w:val="18"/>
          <w:lang w:val="en-GB"/>
        </w:rPr>
      </w:pPr>
    </w:p>
    <w:p w14:paraId="62C217DE" w14:textId="77777777" w:rsidR="00905AE1" w:rsidRPr="00CF4123" w:rsidRDefault="00905AE1" w:rsidP="00905AE1">
      <w:pPr>
        <w:tabs>
          <w:tab w:val="left" w:pos="2520"/>
        </w:tabs>
        <w:spacing w:after="0" w:line="264" w:lineRule="auto"/>
        <w:rPr>
          <w:rFonts w:ascii="Verdana" w:hAnsi="Verdana" w:cs="Arial"/>
          <w:color w:val="000000" w:themeColor="text1"/>
          <w:sz w:val="18"/>
          <w:szCs w:val="18"/>
          <w:lang w:val="en-GB"/>
        </w:rPr>
      </w:pPr>
      <w:r w:rsidRPr="00CF4123">
        <w:rPr>
          <w:rFonts w:ascii="Verdana" w:eastAsia="Times New Roman" w:hAnsi="Verdana" w:cs="Arial"/>
          <w:bCs/>
          <w:color w:val="000000" w:themeColor="text1"/>
          <w:sz w:val="18"/>
          <w:szCs w:val="18"/>
          <w:lang w:val="en-GB" w:eastAsia="pl-PL"/>
        </w:rPr>
        <w:t xml:space="preserve">Robert Stankiewicz </w:t>
      </w:r>
    </w:p>
    <w:p w14:paraId="389B04DE" w14:textId="77777777" w:rsidR="00ED0B3B" w:rsidRPr="00304C3C" w:rsidRDefault="00ED0B3B" w:rsidP="00ED0B3B">
      <w:pPr>
        <w:tabs>
          <w:tab w:val="left" w:pos="2520"/>
        </w:tabs>
        <w:spacing w:after="0" w:line="264" w:lineRule="auto"/>
        <w:rPr>
          <w:rFonts w:ascii="Verdana" w:eastAsia="Times New Roman" w:hAnsi="Verdana" w:cs="Arial"/>
          <w:bCs/>
          <w:color w:val="000000" w:themeColor="text1"/>
          <w:sz w:val="18"/>
          <w:szCs w:val="18"/>
          <w:lang w:val="en-GB" w:eastAsia="pl-PL"/>
        </w:rPr>
      </w:pPr>
      <w:r w:rsidRPr="00304C3C">
        <w:rPr>
          <w:rFonts w:ascii="Verdana" w:eastAsia="Times New Roman" w:hAnsi="Verdana" w:cs="Arial"/>
          <w:bCs/>
          <w:color w:val="000000" w:themeColor="text1"/>
          <w:sz w:val="18"/>
          <w:szCs w:val="18"/>
          <w:lang w:val="en-GB" w:eastAsia="pl-PL"/>
        </w:rPr>
        <w:t>GPW Communication &amp; Marketing Director</w:t>
      </w:r>
    </w:p>
    <w:p w14:paraId="5262DA31" w14:textId="2E1698C8" w:rsidR="00905AE1" w:rsidRPr="00CF4123" w:rsidRDefault="00ED0B3B" w:rsidP="00ED0B3B">
      <w:pPr>
        <w:tabs>
          <w:tab w:val="left" w:pos="2520"/>
        </w:tabs>
        <w:spacing w:after="0" w:line="264" w:lineRule="auto"/>
        <w:rPr>
          <w:rFonts w:ascii="Verdana" w:eastAsia="Times New Roman" w:hAnsi="Verdana" w:cs="Arial"/>
          <w:bCs/>
          <w:color w:val="000000" w:themeColor="text1"/>
          <w:sz w:val="18"/>
          <w:szCs w:val="18"/>
          <w:lang w:val="en-GB" w:eastAsia="pl-PL"/>
        </w:rPr>
      </w:pPr>
      <w:r w:rsidRPr="00304C3C">
        <w:rPr>
          <w:rFonts w:ascii="Verdana" w:eastAsia="Times New Roman" w:hAnsi="Verdana" w:cs="Arial"/>
          <w:bCs/>
          <w:color w:val="000000" w:themeColor="text1"/>
          <w:sz w:val="18"/>
          <w:szCs w:val="18"/>
          <w:lang w:val="en-GB" w:eastAsia="pl-PL"/>
        </w:rPr>
        <w:t xml:space="preserve">mobile </w:t>
      </w:r>
      <w:r w:rsidR="00905AE1" w:rsidRPr="00CF4123">
        <w:rPr>
          <w:rFonts w:ascii="Verdana" w:eastAsia="Times New Roman" w:hAnsi="Verdana" w:cs="Arial"/>
          <w:bCs/>
          <w:color w:val="000000" w:themeColor="text1"/>
          <w:sz w:val="18"/>
          <w:szCs w:val="18"/>
          <w:lang w:val="en-GB" w:eastAsia="pl-PL"/>
        </w:rPr>
        <w:t>+48 885 770 976</w:t>
      </w:r>
    </w:p>
    <w:p w14:paraId="3559745A" w14:textId="77777777" w:rsidR="00905AE1" w:rsidRPr="00CF4123" w:rsidRDefault="00905AE1" w:rsidP="00905AE1">
      <w:pPr>
        <w:tabs>
          <w:tab w:val="left" w:pos="2520"/>
        </w:tabs>
        <w:spacing w:after="0" w:line="264" w:lineRule="auto"/>
        <w:rPr>
          <w:rStyle w:val="Hyperlink"/>
          <w:rFonts w:ascii="Verdana" w:hAnsi="Verdana" w:cs="Arial"/>
          <w:color w:val="000000" w:themeColor="text1"/>
          <w:sz w:val="18"/>
          <w:szCs w:val="18"/>
          <w:u w:val="none"/>
          <w:lang w:val="en-GB"/>
        </w:rPr>
      </w:pPr>
      <w:hyperlink r:id="rId16" w:history="1">
        <w:r w:rsidRPr="00CF4123">
          <w:rPr>
            <w:rStyle w:val="Hyperlink"/>
            <w:rFonts w:ascii="Verdana" w:hAnsi="Verdana" w:cs="Arial"/>
            <w:color w:val="000000" w:themeColor="text1"/>
            <w:sz w:val="18"/>
            <w:szCs w:val="18"/>
            <w:u w:val="none"/>
            <w:lang w:val="en-GB"/>
          </w:rPr>
          <w:t>robert.stankiewicz@gpw.pl</w:t>
        </w:r>
      </w:hyperlink>
    </w:p>
    <w:p w14:paraId="43D15F69" w14:textId="77777777" w:rsidR="00905AE1" w:rsidRPr="00CF4123" w:rsidRDefault="00905AE1" w:rsidP="00905AE1">
      <w:pPr>
        <w:tabs>
          <w:tab w:val="left" w:pos="2520"/>
        </w:tabs>
        <w:spacing w:after="0"/>
        <w:rPr>
          <w:rFonts w:ascii="Verdana" w:hAnsi="Verdana" w:cs="Arial"/>
          <w:color w:val="595959" w:themeColor="text1" w:themeTint="A6"/>
          <w:sz w:val="18"/>
          <w:szCs w:val="18"/>
          <w:lang w:val="en-GB"/>
        </w:rPr>
        <w:sectPr w:rsidR="00905AE1" w:rsidRPr="00CF4123" w:rsidSect="00905AE1">
          <w:type w:val="continuous"/>
          <w:pgSz w:w="11906" w:h="16838"/>
          <w:pgMar w:top="1417" w:right="1417" w:bottom="1417" w:left="1417" w:header="708" w:footer="708" w:gutter="0"/>
          <w:cols w:num="2" w:sep="1" w:space="851" w:equalWidth="0">
            <w:col w:w="3402" w:space="851"/>
            <w:col w:w="4819"/>
          </w:cols>
          <w:docGrid w:linePitch="360"/>
        </w:sectPr>
      </w:pPr>
    </w:p>
    <w:p w14:paraId="52461A42" w14:textId="77777777" w:rsidR="00905AE1" w:rsidRPr="00CF4123" w:rsidRDefault="00905AE1" w:rsidP="00905AE1">
      <w:pPr>
        <w:tabs>
          <w:tab w:val="left" w:pos="2520"/>
        </w:tabs>
        <w:spacing w:after="0"/>
        <w:rPr>
          <w:rFonts w:ascii="Verdana" w:hAnsi="Verdana" w:cs="Arial"/>
          <w:color w:val="595959" w:themeColor="text1" w:themeTint="A6"/>
          <w:sz w:val="18"/>
          <w:szCs w:val="18"/>
          <w:lang w:val="en-GB"/>
        </w:rPr>
      </w:pPr>
    </w:p>
    <w:p w14:paraId="666A2B05" w14:textId="77777777" w:rsidR="00905AE1" w:rsidRPr="00CF4123" w:rsidRDefault="00905AE1" w:rsidP="00905AE1">
      <w:pPr>
        <w:tabs>
          <w:tab w:val="left" w:pos="2520"/>
        </w:tabs>
        <w:spacing w:after="0"/>
        <w:rPr>
          <w:rFonts w:ascii="Verdana" w:hAnsi="Verdana" w:cs="Arial"/>
          <w:color w:val="595959" w:themeColor="text1" w:themeTint="A6"/>
          <w:sz w:val="18"/>
          <w:szCs w:val="18"/>
          <w:lang w:val="en-GB"/>
        </w:rPr>
      </w:pPr>
    </w:p>
    <w:p w14:paraId="76DA7981" w14:textId="53578879" w:rsidR="00905AE1" w:rsidRPr="00CF4123" w:rsidRDefault="00905AE1" w:rsidP="00905AE1">
      <w:pPr>
        <w:pStyle w:val="NormalWeb"/>
        <w:spacing w:after="0" w:line="264" w:lineRule="auto"/>
        <w:jc w:val="both"/>
        <w:rPr>
          <w:rFonts w:ascii="Verdana" w:hAnsi="Verdana" w:cs="Arial"/>
          <w:sz w:val="18"/>
          <w:szCs w:val="18"/>
          <w:lang w:val="en-GB"/>
        </w:rPr>
      </w:pPr>
    </w:p>
    <w:sectPr w:rsidR="00905AE1" w:rsidRPr="00CF4123" w:rsidSect="00DB106D">
      <w:headerReference w:type="default" r:id="rId17"/>
      <w:footerReference w:type="default" r:id="rId18"/>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1DFD4" w14:textId="77777777" w:rsidR="00960F97" w:rsidRDefault="00960F97" w:rsidP="00B84A59">
      <w:pPr>
        <w:spacing w:after="0" w:line="240" w:lineRule="auto"/>
      </w:pPr>
      <w:r>
        <w:separator/>
      </w:r>
    </w:p>
  </w:endnote>
  <w:endnote w:type="continuationSeparator" w:id="0">
    <w:p w14:paraId="35E830D7" w14:textId="77777777" w:rsidR="00960F97" w:rsidRDefault="00960F97" w:rsidP="00B84A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2729184"/>
      <w:docPartObj>
        <w:docPartGallery w:val="Page Numbers (Bottom of Page)"/>
        <w:docPartUnique/>
      </w:docPartObj>
    </w:sdtPr>
    <w:sdtEndPr/>
    <w:sdtContent>
      <w:p w14:paraId="22FC5D79" w14:textId="77777777" w:rsidR="00905AE1" w:rsidRDefault="00905AE1">
        <w:pPr>
          <w:pStyle w:val="Footer"/>
          <w:jc w:val="right"/>
        </w:pPr>
        <w:r w:rsidRPr="002971F5">
          <w:rPr>
            <w:sz w:val="16"/>
            <w:szCs w:val="16"/>
          </w:rPr>
          <w:fldChar w:fldCharType="begin"/>
        </w:r>
        <w:r w:rsidRPr="002971F5">
          <w:rPr>
            <w:sz w:val="16"/>
            <w:szCs w:val="16"/>
          </w:rPr>
          <w:instrText>PAGE   \* MERGEFORMAT</w:instrText>
        </w:r>
        <w:r w:rsidRPr="002971F5">
          <w:rPr>
            <w:sz w:val="16"/>
            <w:szCs w:val="16"/>
          </w:rPr>
          <w:fldChar w:fldCharType="separate"/>
        </w:r>
        <w:r w:rsidRPr="002971F5">
          <w:rPr>
            <w:noProof/>
            <w:sz w:val="16"/>
            <w:szCs w:val="16"/>
          </w:rPr>
          <w:t>5</w:t>
        </w:r>
        <w:r w:rsidRPr="002971F5">
          <w:rPr>
            <w:sz w:val="16"/>
            <w:szCs w:val="16"/>
          </w:rPr>
          <w:fldChar w:fldCharType="end"/>
        </w:r>
      </w:p>
    </w:sdtContent>
  </w:sdt>
  <w:p w14:paraId="469ABBCE" w14:textId="77777777" w:rsidR="00905AE1" w:rsidRDefault="00905AE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7864436"/>
      <w:docPartObj>
        <w:docPartGallery w:val="Page Numbers (Bottom of Page)"/>
        <w:docPartUnique/>
      </w:docPartObj>
    </w:sdtPr>
    <w:sdtEndPr>
      <w:rPr>
        <w:sz w:val="16"/>
        <w:szCs w:val="16"/>
      </w:rPr>
    </w:sdtEndPr>
    <w:sdtContent>
      <w:p w14:paraId="6D17EDA1" w14:textId="77777777" w:rsidR="00905AE1" w:rsidRPr="006A106C" w:rsidRDefault="00905AE1">
        <w:pPr>
          <w:pStyle w:val="Footer"/>
          <w:jc w:val="right"/>
          <w:rPr>
            <w:sz w:val="16"/>
            <w:szCs w:val="16"/>
          </w:rPr>
        </w:pPr>
        <w:r w:rsidRPr="006A106C">
          <w:rPr>
            <w:sz w:val="16"/>
            <w:szCs w:val="16"/>
          </w:rPr>
          <w:fldChar w:fldCharType="begin"/>
        </w:r>
        <w:r w:rsidRPr="006A106C">
          <w:rPr>
            <w:sz w:val="16"/>
            <w:szCs w:val="16"/>
          </w:rPr>
          <w:instrText>PAGE   \* MERGEFORMAT</w:instrText>
        </w:r>
        <w:r w:rsidRPr="006A106C">
          <w:rPr>
            <w:sz w:val="16"/>
            <w:szCs w:val="16"/>
          </w:rPr>
          <w:fldChar w:fldCharType="separate"/>
        </w:r>
        <w:r w:rsidRPr="006A106C">
          <w:rPr>
            <w:sz w:val="16"/>
            <w:szCs w:val="16"/>
          </w:rPr>
          <w:t>2</w:t>
        </w:r>
        <w:r w:rsidRPr="006A106C">
          <w:rPr>
            <w:sz w:val="16"/>
            <w:szCs w:val="16"/>
          </w:rPr>
          <w:fldChar w:fldCharType="end"/>
        </w:r>
      </w:p>
    </w:sdtContent>
  </w:sdt>
  <w:p w14:paraId="4A04375F" w14:textId="77777777" w:rsidR="00905AE1" w:rsidRDefault="00905A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334901"/>
      <w:docPartObj>
        <w:docPartGallery w:val="Page Numbers (Bottom of Page)"/>
        <w:docPartUnique/>
      </w:docPartObj>
    </w:sdtPr>
    <w:sdtEndPr/>
    <w:sdtContent>
      <w:p w14:paraId="69A7C6E1" w14:textId="77777777" w:rsidR="00905AE1" w:rsidRDefault="00905AE1">
        <w:pPr>
          <w:pStyle w:val="Footer"/>
          <w:jc w:val="right"/>
        </w:pPr>
        <w:r>
          <w:fldChar w:fldCharType="begin"/>
        </w:r>
        <w:r>
          <w:instrText>PAGE   \* MERGEFORMAT</w:instrText>
        </w:r>
        <w:r>
          <w:fldChar w:fldCharType="separate"/>
        </w:r>
        <w:r>
          <w:rPr>
            <w:noProof/>
          </w:rPr>
          <w:t>5</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3797005"/>
      <w:docPartObj>
        <w:docPartGallery w:val="Page Numbers (Bottom of Page)"/>
        <w:docPartUnique/>
      </w:docPartObj>
    </w:sdtPr>
    <w:sdtEndPr>
      <w:rPr>
        <w:sz w:val="18"/>
        <w:szCs w:val="18"/>
      </w:rPr>
    </w:sdtEndPr>
    <w:sdtContent>
      <w:p w14:paraId="54ADDF8D" w14:textId="77777777" w:rsidR="00247869" w:rsidRPr="00850BF9" w:rsidRDefault="00247869">
        <w:pPr>
          <w:pStyle w:val="Footer"/>
          <w:jc w:val="right"/>
          <w:rPr>
            <w:sz w:val="18"/>
            <w:szCs w:val="18"/>
          </w:rPr>
        </w:pPr>
        <w:r w:rsidRPr="00850BF9">
          <w:rPr>
            <w:sz w:val="18"/>
            <w:szCs w:val="18"/>
          </w:rPr>
          <w:fldChar w:fldCharType="begin"/>
        </w:r>
        <w:r w:rsidRPr="00850BF9">
          <w:rPr>
            <w:sz w:val="18"/>
            <w:szCs w:val="18"/>
          </w:rPr>
          <w:instrText>PAGE   \* MERGEFORMAT</w:instrText>
        </w:r>
        <w:r w:rsidRPr="00850BF9">
          <w:rPr>
            <w:sz w:val="18"/>
            <w:szCs w:val="18"/>
          </w:rPr>
          <w:fldChar w:fldCharType="separate"/>
        </w:r>
        <w:r w:rsidR="009F7B68" w:rsidRPr="00850BF9">
          <w:rPr>
            <w:noProof/>
            <w:sz w:val="18"/>
            <w:szCs w:val="18"/>
          </w:rPr>
          <w:t>5</w:t>
        </w:r>
        <w:r w:rsidRPr="00850BF9">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30FA3" w14:textId="77777777" w:rsidR="00960F97" w:rsidRDefault="00960F97" w:rsidP="00B84A59">
      <w:pPr>
        <w:spacing w:after="0" w:line="240" w:lineRule="auto"/>
      </w:pPr>
      <w:r>
        <w:separator/>
      </w:r>
    </w:p>
  </w:footnote>
  <w:footnote w:type="continuationSeparator" w:id="0">
    <w:p w14:paraId="7CB09CF1" w14:textId="77777777" w:rsidR="00960F97" w:rsidRDefault="00960F97" w:rsidP="00B84A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13EE1" w14:textId="77777777" w:rsidR="00905AE1" w:rsidRDefault="00905AE1" w:rsidP="00C57F17">
    <w:pPr>
      <w:pStyle w:val="Header"/>
    </w:pPr>
    <w:r>
      <w:rPr>
        <w:noProof/>
      </w:rPr>
      <w:drawing>
        <wp:anchor distT="0" distB="0" distL="114300" distR="114300" simplePos="0" relativeHeight="251658240" behindDoc="0" locked="0" layoutInCell="1" allowOverlap="1" wp14:anchorId="2DCA65B5" wp14:editId="48AC97B6">
          <wp:simplePos x="0" y="0"/>
          <wp:positionH relativeFrom="margin">
            <wp:align>left</wp:align>
          </wp:positionH>
          <wp:positionV relativeFrom="paragraph">
            <wp:posOffset>-186681</wp:posOffset>
          </wp:positionV>
          <wp:extent cx="1589405" cy="465455"/>
          <wp:effectExtent l="0" t="0" r="0" b="0"/>
          <wp:wrapTopAndBottom/>
          <wp:docPr id="1150470927" name="Obraz 1150470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9405" cy="4654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60A2B" w14:textId="77777777" w:rsidR="00905AE1" w:rsidRDefault="00905AE1">
    <w:pPr>
      <w:pStyle w:val="Header"/>
    </w:pPr>
    <w:r>
      <w:rPr>
        <w:noProof/>
      </w:rPr>
      <w:drawing>
        <wp:anchor distT="0" distB="0" distL="114300" distR="114300" simplePos="0" relativeHeight="251657216" behindDoc="0" locked="0" layoutInCell="1" allowOverlap="1" wp14:anchorId="0DF818F8" wp14:editId="01E29918">
          <wp:simplePos x="0" y="0"/>
          <wp:positionH relativeFrom="margin">
            <wp:align>left</wp:align>
          </wp:positionH>
          <wp:positionV relativeFrom="paragraph">
            <wp:posOffset>-19685</wp:posOffset>
          </wp:positionV>
          <wp:extent cx="1589405" cy="465455"/>
          <wp:effectExtent l="0" t="0" r="0" b="0"/>
          <wp:wrapTopAndBottom/>
          <wp:docPr id="412669222" name="Obraz 412669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9405" cy="4654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B0B67" w14:textId="77777777" w:rsidR="00905AE1" w:rsidRDefault="00905AE1" w:rsidP="00CD5D56">
    <w:pPr>
      <w:pStyle w:val="Header"/>
      <w:ind w:hanging="567"/>
      <w:rPr>
        <w:noProof/>
      </w:rPr>
    </w:pPr>
    <w:r>
      <w:rPr>
        <w:noProof/>
      </w:rPr>
      <w:drawing>
        <wp:anchor distT="0" distB="0" distL="114300" distR="114300" simplePos="0" relativeHeight="251659264" behindDoc="0" locked="0" layoutInCell="1" allowOverlap="1" wp14:anchorId="5A125D6B" wp14:editId="0D96B4EE">
          <wp:simplePos x="0" y="0"/>
          <wp:positionH relativeFrom="column">
            <wp:posOffset>117594</wp:posOffset>
          </wp:positionH>
          <wp:positionV relativeFrom="paragraph">
            <wp:posOffset>171450</wp:posOffset>
          </wp:positionV>
          <wp:extent cx="1589405" cy="465455"/>
          <wp:effectExtent l="0" t="0" r="0" b="0"/>
          <wp:wrapTopAndBottom/>
          <wp:docPr id="2045846961" name="Obraz 2045846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9405" cy="4654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4B15419" w14:textId="77777777" w:rsidR="00905AE1" w:rsidRDefault="00905AE1" w:rsidP="00CD5D56">
    <w:pPr>
      <w:pStyle w:val="Header"/>
      <w:ind w:hanging="56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881A3" w14:textId="4F0B5D9B" w:rsidR="00247869" w:rsidRDefault="001C37F9" w:rsidP="00CD5D56">
    <w:pPr>
      <w:pStyle w:val="Header"/>
      <w:ind w:hanging="567"/>
    </w:pPr>
    <w:r>
      <w:rPr>
        <w:noProof/>
      </w:rPr>
      <w:drawing>
        <wp:anchor distT="0" distB="0" distL="114300" distR="114300" simplePos="0" relativeHeight="251656192" behindDoc="0" locked="0" layoutInCell="1" allowOverlap="1" wp14:anchorId="79CF9703" wp14:editId="5DCC8839">
          <wp:simplePos x="0" y="0"/>
          <wp:positionH relativeFrom="column">
            <wp:posOffset>117475</wp:posOffset>
          </wp:positionH>
          <wp:positionV relativeFrom="paragraph">
            <wp:posOffset>-18555</wp:posOffset>
          </wp:positionV>
          <wp:extent cx="1589405" cy="465455"/>
          <wp:effectExtent l="0" t="0" r="0" b="0"/>
          <wp:wrapTopAndBottom/>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9405" cy="4654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22.35pt" o:bullet="t">
        <v:imagedata r:id="rId1" o:title="znaczek"/>
      </v:shape>
    </w:pict>
  </w:numPicBullet>
  <w:abstractNum w:abstractNumId="0" w15:restartNumberingAfterBreak="0">
    <w:nsid w:val="FFFFFF83"/>
    <w:multiLevelType w:val="singleLevel"/>
    <w:tmpl w:val="7FF2FC84"/>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38F2972"/>
    <w:multiLevelType w:val="hybridMultilevel"/>
    <w:tmpl w:val="68DC3A26"/>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34E2C90"/>
    <w:multiLevelType w:val="multilevel"/>
    <w:tmpl w:val="BD7E4590"/>
    <w:lvl w:ilvl="0">
      <w:start w:val="1"/>
      <w:numFmt w:val="bullet"/>
      <w:lvlText w:val=""/>
      <w:lvlJc w:val="left"/>
      <w:pPr>
        <w:tabs>
          <w:tab w:val="num" w:pos="720"/>
        </w:tabs>
        <w:ind w:left="720" w:hanging="360"/>
      </w:pPr>
      <w:rPr>
        <w:rFonts w:ascii="Symbol" w:hAnsi="Symbol" w:hint="default"/>
        <w:color w:val="0090D5"/>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2318E5"/>
    <w:multiLevelType w:val="hybridMultilevel"/>
    <w:tmpl w:val="802EFDD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FC25C7C"/>
    <w:multiLevelType w:val="multilevel"/>
    <w:tmpl w:val="77E04DCC"/>
    <w:lvl w:ilvl="0">
      <w:start w:val="1"/>
      <w:numFmt w:val="bullet"/>
      <w:lvlText w:val="¨"/>
      <w:lvlJc w:val="left"/>
      <w:pPr>
        <w:tabs>
          <w:tab w:val="num" w:pos="720"/>
        </w:tabs>
        <w:ind w:left="720" w:hanging="360"/>
      </w:pPr>
      <w:rPr>
        <w:rFonts w:ascii="Symbol" w:hAnsi="Symbol" w:hint="default"/>
        <w:color w:val="0090D5"/>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696A82"/>
    <w:multiLevelType w:val="hybridMultilevel"/>
    <w:tmpl w:val="7ECAB274"/>
    <w:lvl w:ilvl="0" w:tplc="0415000D">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 w15:restartNumberingAfterBreak="0">
    <w:nsid w:val="3D0B0490"/>
    <w:multiLevelType w:val="hybridMultilevel"/>
    <w:tmpl w:val="D43233E6"/>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FB9557E"/>
    <w:multiLevelType w:val="hybridMultilevel"/>
    <w:tmpl w:val="F1166BAE"/>
    <w:lvl w:ilvl="0" w:tplc="8FA66AAE">
      <w:start w:val="1"/>
      <w:numFmt w:val="bullet"/>
      <w:lvlText w:val=""/>
      <w:lvlJc w:val="left"/>
      <w:pPr>
        <w:tabs>
          <w:tab w:val="num" w:pos="720"/>
        </w:tabs>
        <w:ind w:left="720" w:hanging="360"/>
      </w:pPr>
      <w:rPr>
        <w:rFonts w:ascii="Symbol" w:hAnsi="Symbol" w:hint="default"/>
      </w:rPr>
    </w:lvl>
    <w:lvl w:ilvl="1" w:tplc="130290BE" w:tentative="1">
      <w:start w:val="1"/>
      <w:numFmt w:val="bullet"/>
      <w:lvlText w:val=""/>
      <w:lvlJc w:val="left"/>
      <w:pPr>
        <w:tabs>
          <w:tab w:val="num" w:pos="1440"/>
        </w:tabs>
        <w:ind w:left="1440" w:hanging="360"/>
      </w:pPr>
      <w:rPr>
        <w:rFonts w:ascii="Symbol" w:hAnsi="Symbol" w:hint="default"/>
      </w:rPr>
    </w:lvl>
    <w:lvl w:ilvl="2" w:tplc="61323266" w:tentative="1">
      <w:start w:val="1"/>
      <w:numFmt w:val="bullet"/>
      <w:lvlText w:val=""/>
      <w:lvlJc w:val="left"/>
      <w:pPr>
        <w:tabs>
          <w:tab w:val="num" w:pos="2160"/>
        </w:tabs>
        <w:ind w:left="2160" w:hanging="360"/>
      </w:pPr>
      <w:rPr>
        <w:rFonts w:ascii="Symbol" w:hAnsi="Symbol" w:hint="default"/>
      </w:rPr>
    </w:lvl>
    <w:lvl w:ilvl="3" w:tplc="CDDAD062" w:tentative="1">
      <w:start w:val="1"/>
      <w:numFmt w:val="bullet"/>
      <w:lvlText w:val=""/>
      <w:lvlJc w:val="left"/>
      <w:pPr>
        <w:tabs>
          <w:tab w:val="num" w:pos="2880"/>
        </w:tabs>
        <w:ind w:left="2880" w:hanging="360"/>
      </w:pPr>
      <w:rPr>
        <w:rFonts w:ascii="Symbol" w:hAnsi="Symbol" w:hint="default"/>
      </w:rPr>
    </w:lvl>
    <w:lvl w:ilvl="4" w:tplc="E56C20D6" w:tentative="1">
      <w:start w:val="1"/>
      <w:numFmt w:val="bullet"/>
      <w:lvlText w:val=""/>
      <w:lvlJc w:val="left"/>
      <w:pPr>
        <w:tabs>
          <w:tab w:val="num" w:pos="3600"/>
        </w:tabs>
        <w:ind w:left="3600" w:hanging="360"/>
      </w:pPr>
      <w:rPr>
        <w:rFonts w:ascii="Symbol" w:hAnsi="Symbol" w:hint="default"/>
      </w:rPr>
    </w:lvl>
    <w:lvl w:ilvl="5" w:tplc="35A66DDA" w:tentative="1">
      <w:start w:val="1"/>
      <w:numFmt w:val="bullet"/>
      <w:lvlText w:val=""/>
      <w:lvlJc w:val="left"/>
      <w:pPr>
        <w:tabs>
          <w:tab w:val="num" w:pos="4320"/>
        </w:tabs>
        <w:ind w:left="4320" w:hanging="360"/>
      </w:pPr>
      <w:rPr>
        <w:rFonts w:ascii="Symbol" w:hAnsi="Symbol" w:hint="default"/>
      </w:rPr>
    </w:lvl>
    <w:lvl w:ilvl="6" w:tplc="C0EA4972" w:tentative="1">
      <w:start w:val="1"/>
      <w:numFmt w:val="bullet"/>
      <w:lvlText w:val=""/>
      <w:lvlJc w:val="left"/>
      <w:pPr>
        <w:tabs>
          <w:tab w:val="num" w:pos="5040"/>
        </w:tabs>
        <w:ind w:left="5040" w:hanging="360"/>
      </w:pPr>
      <w:rPr>
        <w:rFonts w:ascii="Symbol" w:hAnsi="Symbol" w:hint="default"/>
      </w:rPr>
    </w:lvl>
    <w:lvl w:ilvl="7" w:tplc="FE74537A" w:tentative="1">
      <w:start w:val="1"/>
      <w:numFmt w:val="bullet"/>
      <w:lvlText w:val=""/>
      <w:lvlJc w:val="left"/>
      <w:pPr>
        <w:tabs>
          <w:tab w:val="num" w:pos="5760"/>
        </w:tabs>
        <w:ind w:left="5760" w:hanging="360"/>
      </w:pPr>
      <w:rPr>
        <w:rFonts w:ascii="Symbol" w:hAnsi="Symbol" w:hint="default"/>
      </w:rPr>
    </w:lvl>
    <w:lvl w:ilvl="8" w:tplc="D538651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030291D"/>
    <w:multiLevelType w:val="hybridMultilevel"/>
    <w:tmpl w:val="44083E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2F61B3E"/>
    <w:multiLevelType w:val="hybridMultilevel"/>
    <w:tmpl w:val="C06094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3B75475"/>
    <w:multiLevelType w:val="hybridMultilevel"/>
    <w:tmpl w:val="93489868"/>
    <w:lvl w:ilvl="0" w:tplc="6B38CA1E">
      <w:start w:val="1"/>
      <w:numFmt w:val="bullet"/>
      <w:lvlText w:val=""/>
      <w:lvlJc w:val="left"/>
      <w:pPr>
        <w:tabs>
          <w:tab w:val="num" w:pos="720"/>
        </w:tabs>
        <w:ind w:left="720" w:hanging="360"/>
      </w:pPr>
      <w:rPr>
        <w:rFonts w:ascii="Symbol" w:hAnsi="Symbol" w:hint="default"/>
      </w:rPr>
    </w:lvl>
    <w:lvl w:ilvl="1" w:tplc="981CE000" w:tentative="1">
      <w:start w:val="1"/>
      <w:numFmt w:val="bullet"/>
      <w:lvlText w:val=""/>
      <w:lvlJc w:val="left"/>
      <w:pPr>
        <w:tabs>
          <w:tab w:val="num" w:pos="1440"/>
        </w:tabs>
        <w:ind w:left="1440" w:hanging="360"/>
      </w:pPr>
      <w:rPr>
        <w:rFonts w:ascii="Symbol" w:hAnsi="Symbol" w:hint="default"/>
      </w:rPr>
    </w:lvl>
    <w:lvl w:ilvl="2" w:tplc="1CCAB228" w:tentative="1">
      <w:start w:val="1"/>
      <w:numFmt w:val="bullet"/>
      <w:lvlText w:val=""/>
      <w:lvlJc w:val="left"/>
      <w:pPr>
        <w:tabs>
          <w:tab w:val="num" w:pos="2160"/>
        </w:tabs>
        <w:ind w:left="2160" w:hanging="360"/>
      </w:pPr>
      <w:rPr>
        <w:rFonts w:ascii="Symbol" w:hAnsi="Symbol" w:hint="default"/>
      </w:rPr>
    </w:lvl>
    <w:lvl w:ilvl="3" w:tplc="455C3DF6" w:tentative="1">
      <w:start w:val="1"/>
      <w:numFmt w:val="bullet"/>
      <w:lvlText w:val=""/>
      <w:lvlJc w:val="left"/>
      <w:pPr>
        <w:tabs>
          <w:tab w:val="num" w:pos="2880"/>
        </w:tabs>
        <w:ind w:left="2880" w:hanging="360"/>
      </w:pPr>
      <w:rPr>
        <w:rFonts w:ascii="Symbol" w:hAnsi="Symbol" w:hint="default"/>
      </w:rPr>
    </w:lvl>
    <w:lvl w:ilvl="4" w:tplc="911A1AA6" w:tentative="1">
      <w:start w:val="1"/>
      <w:numFmt w:val="bullet"/>
      <w:lvlText w:val=""/>
      <w:lvlJc w:val="left"/>
      <w:pPr>
        <w:tabs>
          <w:tab w:val="num" w:pos="3600"/>
        </w:tabs>
        <w:ind w:left="3600" w:hanging="360"/>
      </w:pPr>
      <w:rPr>
        <w:rFonts w:ascii="Symbol" w:hAnsi="Symbol" w:hint="default"/>
      </w:rPr>
    </w:lvl>
    <w:lvl w:ilvl="5" w:tplc="A9ACA512" w:tentative="1">
      <w:start w:val="1"/>
      <w:numFmt w:val="bullet"/>
      <w:lvlText w:val=""/>
      <w:lvlJc w:val="left"/>
      <w:pPr>
        <w:tabs>
          <w:tab w:val="num" w:pos="4320"/>
        </w:tabs>
        <w:ind w:left="4320" w:hanging="360"/>
      </w:pPr>
      <w:rPr>
        <w:rFonts w:ascii="Symbol" w:hAnsi="Symbol" w:hint="default"/>
      </w:rPr>
    </w:lvl>
    <w:lvl w:ilvl="6" w:tplc="211CBA3C" w:tentative="1">
      <w:start w:val="1"/>
      <w:numFmt w:val="bullet"/>
      <w:lvlText w:val=""/>
      <w:lvlJc w:val="left"/>
      <w:pPr>
        <w:tabs>
          <w:tab w:val="num" w:pos="5040"/>
        </w:tabs>
        <w:ind w:left="5040" w:hanging="360"/>
      </w:pPr>
      <w:rPr>
        <w:rFonts w:ascii="Symbol" w:hAnsi="Symbol" w:hint="default"/>
      </w:rPr>
    </w:lvl>
    <w:lvl w:ilvl="7" w:tplc="1FC4F662" w:tentative="1">
      <w:start w:val="1"/>
      <w:numFmt w:val="bullet"/>
      <w:lvlText w:val=""/>
      <w:lvlJc w:val="left"/>
      <w:pPr>
        <w:tabs>
          <w:tab w:val="num" w:pos="5760"/>
        </w:tabs>
        <w:ind w:left="5760" w:hanging="360"/>
      </w:pPr>
      <w:rPr>
        <w:rFonts w:ascii="Symbol" w:hAnsi="Symbol" w:hint="default"/>
      </w:rPr>
    </w:lvl>
    <w:lvl w:ilvl="8" w:tplc="B1F2047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A2C0E7D"/>
    <w:multiLevelType w:val="hybridMultilevel"/>
    <w:tmpl w:val="1854CB82"/>
    <w:lvl w:ilvl="0" w:tplc="E0B88166">
      <w:start w:val="1"/>
      <w:numFmt w:val="bullet"/>
      <w:lvlText w:val=""/>
      <w:lvlJc w:val="left"/>
      <w:pPr>
        <w:tabs>
          <w:tab w:val="num" w:pos="720"/>
        </w:tabs>
        <w:ind w:left="720" w:hanging="360"/>
      </w:pPr>
      <w:rPr>
        <w:rFonts w:ascii="Symbol" w:hAnsi="Symbol" w:hint="default"/>
      </w:rPr>
    </w:lvl>
    <w:lvl w:ilvl="1" w:tplc="9BC8C79E" w:tentative="1">
      <w:start w:val="1"/>
      <w:numFmt w:val="bullet"/>
      <w:lvlText w:val=""/>
      <w:lvlJc w:val="left"/>
      <w:pPr>
        <w:tabs>
          <w:tab w:val="num" w:pos="1440"/>
        </w:tabs>
        <w:ind w:left="1440" w:hanging="360"/>
      </w:pPr>
      <w:rPr>
        <w:rFonts w:ascii="Symbol" w:hAnsi="Symbol" w:hint="default"/>
      </w:rPr>
    </w:lvl>
    <w:lvl w:ilvl="2" w:tplc="9D624982" w:tentative="1">
      <w:start w:val="1"/>
      <w:numFmt w:val="bullet"/>
      <w:lvlText w:val=""/>
      <w:lvlJc w:val="left"/>
      <w:pPr>
        <w:tabs>
          <w:tab w:val="num" w:pos="2160"/>
        </w:tabs>
        <w:ind w:left="2160" w:hanging="360"/>
      </w:pPr>
      <w:rPr>
        <w:rFonts w:ascii="Symbol" w:hAnsi="Symbol" w:hint="default"/>
      </w:rPr>
    </w:lvl>
    <w:lvl w:ilvl="3" w:tplc="97A41BFC" w:tentative="1">
      <w:start w:val="1"/>
      <w:numFmt w:val="bullet"/>
      <w:lvlText w:val=""/>
      <w:lvlJc w:val="left"/>
      <w:pPr>
        <w:tabs>
          <w:tab w:val="num" w:pos="2880"/>
        </w:tabs>
        <w:ind w:left="2880" w:hanging="360"/>
      </w:pPr>
      <w:rPr>
        <w:rFonts w:ascii="Symbol" w:hAnsi="Symbol" w:hint="default"/>
      </w:rPr>
    </w:lvl>
    <w:lvl w:ilvl="4" w:tplc="E9BC6C96" w:tentative="1">
      <w:start w:val="1"/>
      <w:numFmt w:val="bullet"/>
      <w:lvlText w:val=""/>
      <w:lvlJc w:val="left"/>
      <w:pPr>
        <w:tabs>
          <w:tab w:val="num" w:pos="3600"/>
        </w:tabs>
        <w:ind w:left="3600" w:hanging="360"/>
      </w:pPr>
      <w:rPr>
        <w:rFonts w:ascii="Symbol" w:hAnsi="Symbol" w:hint="default"/>
      </w:rPr>
    </w:lvl>
    <w:lvl w:ilvl="5" w:tplc="390851F0" w:tentative="1">
      <w:start w:val="1"/>
      <w:numFmt w:val="bullet"/>
      <w:lvlText w:val=""/>
      <w:lvlJc w:val="left"/>
      <w:pPr>
        <w:tabs>
          <w:tab w:val="num" w:pos="4320"/>
        </w:tabs>
        <w:ind w:left="4320" w:hanging="360"/>
      </w:pPr>
      <w:rPr>
        <w:rFonts w:ascii="Symbol" w:hAnsi="Symbol" w:hint="default"/>
      </w:rPr>
    </w:lvl>
    <w:lvl w:ilvl="6" w:tplc="FE825A7A" w:tentative="1">
      <w:start w:val="1"/>
      <w:numFmt w:val="bullet"/>
      <w:lvlText w:val=""/>
      <w:lvlJc w:val="left"/>
      <w:pPr>
        <w:tabs>
          <w:tab w:val="num" w:pos="5040"/>
        </w:tabs>
        <w:ind w:left="5040" w:hanging="360"/>
      </w:pPr>
      <w:rPr>
        <w:rFonts w:ascii="Symbol" w:hAnsi="Symbol" w:hint="default"/>
      </w:rPr>
    </w:lvl>
    <w:lvl w:ilvl="7" w:tplc="8216E5D6" w:tentative="1">
      <w:start w:val="1"/>
      <w:numFmt w:val="bullet"/>
      <w:lvlText w:val=""/>
      <w:lvlJc w:val="left"/>
      <w:pPr>
        <w:tabs>
          <w:tab w:val="num" w:pos="5760"/>
        </w:tabs>
        <w:ind w:left="5760" w:hanging="360"/>
      </w:pPr>
      <w:rPr>
        <w:rFonts w:ascii="Symbol" w:hAnsi="Symbol" w:hint="default"/>
      </w:rPr>
    </w:lvl>
    <w:lvl w:ilvl="8" w:tplc="E000035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9B47B7D"/>
    <w:multiLevelType w:val="hybridMultilevel"/>
    <w:tmpl w:val="7458DB7A"/>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6A655FAC"/>
    <w:multiLevelType w:val="hybridMultilevel"/>
    <w:tmpl w:val="36142014"/>
    <w:lvl w:ilvl="0" w:tplc="EE42F9EE">
      <w:start w:val="1"/>
      <w:numFmt w:val="bullet"/>
      <w:lvlText w:val=""/>
      <w:lvlJc w:val="left"/>
      <w:pPr>
        <w:tabs>
          <w:tab w:val="num" w:pos="720"/>
        </w:tabs>
        <w:ind w:left="720" w:hanging="360"/>
      </w:pPr>
      <w:rPr>
        <w:rFonts w:ascii="Symbol" w:hAnsi="Symbol" w:hint="default"/>
      </w:rPr>
    </w:lvl>
    <w:lvl w:ilvl="1" w:tplc="B26C8D10" w:tentative="1">
      <w:start w:val="1"/>
      <w:numFmt w:val="bullet"/>
      <w:lvlText w:val=""/>
      <w:lvlJc w:val="left"/>
      <w:pPr>
        <w:tabs>
          <w:tab w:val="num" w:pos="1440"/>
        </w:tabs>
        <w:ind w:left="1440" w:hanging="360"/>
      </w:pPr>
      <w:rPr>
        <w:rFonts w:ascii="Symbol" w:hAnsi="Symbol" w:hint="default"/>
      </w:rPr>
    </w:lvl>
    <w:lvl w:ilvl="2" w:tplc="29A60FAA" w:tentative="1">
      <w:start w:val="1"/>
      <w:numFmt w:val="bullet"/>
      <w:lvlText w:val=""/>
      <w:lvlJc w:val="left"/>
      <w:pPr>
        <w:tabs>
          <w:tab w:val="num" w:pos="2160"/>
        </w:tabs>
        <w:ind w:left="2160" w:hanging="360"/>
      </w:pPr>
      <w:rPr>
        <w:rFonts w:ascii="Symbol" w:hAnsi="Symbol" w:hint="default"/>
      </w:rPr>
    </w:lvl>
    <w:lvl w:ilvl="3" w:tplc="53B82A16" w:tentative="1">
      <w:start w:val="1"/>
      <w:numFmt w:val="bullet"/>
      <w:lvlText w:val=""/>
      <w:lvlJc w:val="left"/>
      <w:pPr>
        <w:tabs>
          <w:tab w:val="num" w:pos="2880"/>
        </w:tabs>
        <w:ind w:left="2880" w:hanging="360"/>
      </w:pPr>
      <w:rPr>
        <w:rFonts w:ascii="Symbol" w:hAnsi="Symbol" w:hint="default"/>
      </w:rPr>
    </w:lvl>
    <w:lvl w:ilvl="4" w:tplc="DB807840" w:tentative="1">
      <w:start w:val="1"/>
      <w:numFmt w:val="bullet"/>
      <w:lvlText w:val=""/>
      <w:lvlJc w:val="left"/>
      <w:pPr>
        <w:tabs>
          <w:tab w:val="num" w:pos="3600"/>
        </w:tabs>
        <w:ind w:left="3600" w:hanging="360"/>
      </w:pPr>
      <w:rPr>
        <w:rFonts w:ascii="Symbol" w:hAnsi="Symbol" w:hint="default"/>
      </w:rPr>
    </w:lvl>
    <w:lvl w:ilvl="5" w:tplc="98E4E7E2" w:tentative="1">
      <w:start w:val="1"/>
      <w:numFmt w:val="bullet"/>
      <w:lvlText w:val=""/>
      <w:lvlJc w:val="left"/>
      <w:pPr>
        <w:tabs>
          <w:tab w:val="num" w:pos="4320"/>
        </w:tabs>
        <w:ind w:left="4320" w:hanging="360"/>
      </w:pPr>
      <w:rPr>
        <w:rFonts w:ascii="Symbol" w:hAnsi="Symbol" w:hint="default"/>
      </w:rPr>
    </w:lvl>
    <w:lvl w:ilvl="6" w:tplc="5AEC93C4" w:tentative="1">
      <w:start w:val="1"/>
      <w:numFmt w:val="bullet"/>
      <w:lvlText w:val=""/>
      <w:lvlJc w:val="left"/>
      <w:pPr>
        <w:tabs>
          <w:tab w:val="num" w:pos="5040"/>
        </w:tabs>
        <w:ind w:left="5040" w:hanging="360"/>
      </w:pPr>
      <w:rPr>
        <w:rFonts w:ascii="Symbol" w:hAnsi="Symbol" w:hint="default"/>
      </w:rPr>
    </w:lvl>
    <w:lvl w:ilvl="7" w:tplc="5672C57C" w:tentative="1">
      <w:start w:val="1"/>
      <w:numFmt w:val="bullet"/>
      <w:lvlText w:val=""/>
      <w:lvlJc w:val="left"/>
      <w:pPr>
        <w:tabs>
          <w:tab w:val="num" w:pos="5760"/>
        </w:tabs>
        <w:ind w:left="5760" w:hanging="360"/>
      </w:pPr>
      <w:rPr>
        <w:rFonts w:ascii="Symbol" w:hAnsi="Symbol" w:hint="default"/>
      </w:rPr>
    </w:lvl>
    <w:lvl w:ilvl="8" w:tplc="C414CBE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B322FB2"/>
    <w:multiLevelType w:val="multilevel"/>
    <w:tmpl w:val="194A9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2E623BB"/>
    <w:multiLevelType w:val="hybridMultilevel"/>
    <w:tmpl w:val="D0C822F0"/>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num w:numId="1" w16cid:durableId="418792879">
    <w:abstractNumId w:val="4"/>
  </w:num>
  <w:num w:numId="2" w16cid:durableId="1377317194">
    <w:abstractNumId w:val="10"/>
  </w:num>
  <w:num w:numId="3" w16cid:durableId="1911621196">
    <w:abstractNumId w:val="2"/>
  </w:num>
  <w:num w:numId="4" w16cid:durableId="2079981869">
    <w:abstractNumId w:val="8"/>
  </w:num>
  <w:num w:numId="5" w16cid:durableId="1628657649">
    <w:abstractNumId w:val="15"/>
  </w:num>
  <w:num w:numId="6" w16cid:durableId="146022674">
    <w:abstractNumId w:val="5"/>
  </w:num>
  <w:num w:numId="7" w16cid:durableId="1852988586">
    <w:abstractNumId w:val="12"/>
  </w:num>
  <w:num w:numId="8" w16cid:durableId="1966691753">
    <w:abstractNumId w:val="6"/>
  </w:num>
  <w:num w:numId="9" w16cid:durableId="567573311">
    <w:abstractNumId w:val="14"/>
  </w:num>
  <w:num w:numId="10" w16cid:durableId="737870854">
    <w:abstractNumId w:val="3"/>
  </w:num>
  <w:num w:numId="11" w16cid:durableId="1074282232">
    <w:abstractNumId w:val="7"/>
  </w:num>
  <w:num w:numId="12" w16cid:durableId="1587030043">
    <w:abstractNumId w:val="1"/>
  </w:num>
  <w:num w:numId="13" w16cid:durableId="246114433">
    <w:abstractNumId w:val="11"/>
  </w:num>
  <w:num w:numId="14" w16cid:durableId="1845824966">
    <w:abstractNumId w:val="13"/>
  </w:num>
  <w:num w:numId="15" w16cid:durableId="109324088">
    <w:abstractNumId w:val="0"/>
  </w:num>
  <w:num w:numId="16" w16cid:durableId="13975837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4E56"/>
    <w:rsid w:val="00007371"/>
    <w:rsid w:val="0000765A"/>
    <w:rsid w:val="000107FC"/>
    <w:rsid w:val="000111DE"/>
    <w:rsid w:val="00011DF1"/>
    <w:rsid w:val="000129A1"/>
    <w:rsid w:val="00013145"/>
    <w:rsid w:val="00013487"/>
    <w:rsid w:val="0001477E"/>
    <w:rsid w:val="00015B7B"/>
    <w:rsid w:val="00015C7A"/>
    <w:rsid w:val="000173D1"/>
    <w:rsid w:val="00017D6D"/>
    <w:rsid w:val="00020700"/>
    <w:rsid w:val="00021094"/>
    <w:rsid w:val="00021720"/>
    <w:rsid w:val="00021D3E"/>
    <w:rsid w:val="00023E05"/>
    <w:rsid w:val="00024ABA"/>
    <w:rsid w:val="00024F07"/>
    <w:rsid w:val="00025141"/>
    <w:rsid w:val="000262A8"/>
    <w:rsid w:val="000264A2"/>
    <w:rsid w:val="00030030"/>
    <w:rsid w:val="00030E5F"/>
    <w:rsid w:val="00030F3D"/>
    <w:rsid w:val="0003196D"/>
    <w:rsid w:val="000337C5"/>
    <w:rsid w:val="00034E33"/>
    <w:rsid w:val="00035F01"/>
    <w:rsid w:val="00041594"/>
    <w:rsid w:val="00043D78"/>
    <w:rsid w:val="000443CF"/>
    <w:rsid w:val="00045305"/>
    <w:rsid w:val="000467DA"/>
    <w:rsid w:val="0004698C"/>
    <w:rsid w:val="00046B3F"/>
    <w:rsid w:val="0004727D"/>
    <w:rsid w:val="000475D3"/>
    <w:rsid w:val="00047CE3"/>
    <w:rsid w:val="00050C80"/>
    <w:rsid w:val="00050E07"/>
    <w:rsid w:val="0005167F"/>
    <w:rsid w:val="00051718"/>
    <w:rsid w:val="0005445B"/>
    <w:rsid w:val="00055BB4"/>
    <w:rsid w:val="00060292"/>
    <w:rsid w:val="000612DF"/>
    <w:rsid w:val="00064D26"/>
    <w:rsid w:val="000650C5"/>
    <w:rsid w:val="00072FCE"/>
    <w:rsid w:val="000734EC"/>
    <w:rsid w:val="00074660"/>
    <w:rsid w:val="00075A84"/>
    <w:rsid w:val="00077922"/>
    <w:rsid w:val="0008032C"/>
    <w:rsid w:val="000806FD"/>
    <w:rsid w:val="000825F0"/>
    <w:rsid w:val="00082B97"/>
    <w:rsid w:val="000830BD"/>
    <w:rsid w:val="00085215"/>
    <w:rsid w:val="00094896"/>
    <w:rsid w:val="000949CF"/>
    <w:rsid w:val="00094ED2"/>
    <w:rsid w:val="000A306F"/>
    <w:rsid w:val="000A3A55"/>
    <w:rsid w:val="000A5BFB"/>
    <w:rsid w:val="000A69C7"/>
    <w:rsid w:val="000A6CCC"/>
    <w:rsid w:val="000A7674"/>
    <w:rsid w:val="000B04CE"/>
    <w:rsid w:val="000B0DDA"/>
    <w:rsid w:val="000B1987"/>
    <w:rsid w:val="000B2421"/>
    <w:rsid w:val="000B2F65"/>
    <w:rsid w:val="000B31BD"/>
    <w:rsid w:val="000B33A5"/>
    <w:rsid w:val="000B40A3"/>
    <w:rsid w:val="000B7185"/>
    <w:rsid w:val="000C1B63"/>
    <w:rsid w:val="000C3332"/>
    <w:rsid w:val="000C3447"/>
    <w:rsid w:val="000C3E75"/>
    <w:rsid w:val="000C50D3"/>
    <w:rsid w:val="000C5794"/>
    <w:rsid w:val="000C74B9"/>
    <w:rsid w:val="000C76BE"/>
    <w:rsid w:val="000D07FA"/>
    <w:rsid w:val="000D1DED"/>
    <w:rsid w:val="000D4E24"/>
    <w:rsid w:val="000D5530"/>
    <w:rsid w:val="000D5ECD"/>
    <w:rsid w:val="000D7646"/>
    <w:rsid w:val="000E0462"/>
    <w:rsid w:val="000E0752"/>
    <w:rsid w:val="000E0DA3"/>
    <w:rsid w:val="000E1C86"/>
    <w:rsid w:val="000E2182"/>
    <w:rsid w:val="000E46BC"/>
    <w:rsid w:val="000E6349"/>
    <w:rsid w:val="000E663F"/>
    <w:rsid w:val="000E7045"/>
    <w:rsid w:val="000F170E"/>
    <w:rsid w:val="000F1803"/>
    <w:rsid w:val="000F1C13"/>
    <w:rsid w:val="000F3339"/>
    <w:rsid w:val="000F3595"/>
    <w:rsid w:val="000F36EC"/>
    <w:rsid w:val="000F383A"/>
    <w:rsid w:val="000F456F"/>
    <w:rsid w:val="000F4C4A"/>
    <w:rsid w:val="000F4E4D"/>
    <w:rsid w:val="00100BCA"/>
    <w:rsid w:val="00101148"/>
    <w:rsid w:val="00101563"/>
    <w:rsid w:val="00101656"/>
    <w:rsid w:val="001072E4"/>
    <w:rsid w:val="001074C6"/>
    <w:rsid w:val="00107BB1"/>
    <w:rsid w:val="001107A0"/>
    <w:rsid w:val="00111743"/>
    <w:rsid w:val="00112135"/>
    <w:rsid w:val="001124FB"/>
    <w:rsid w:val="00112FF7"/>
    <w:rsid w:val="0011471C"/>
    <w:rsid w:val="0011541F"/>
    <w:rsid w:val="0011623E"/>
    <w:rsid w:val="0011647F"/>
    <w:rsid w:val="001172B6"/>
    <w:rsid w:val="00117FDA"/>
    <w:rsid w:val="001211B6"/>
    <w:rsid w:val="00123B34"/>
    <w:rsid w:val="00124668"/>
    <w:rsid w:val="001274D6"/>
    <w:rsid w:val="00130870"/>
    <w:rsid w:val="001316C5"/>
    <w:rsid w:val="00132746"/>
    <w:rsid w:val="00133D13"/>
    <w:rsid w:val="001346D9"/>
    <w:rsid w:val="0013508E"/>
    <w:rsid w:val="0013679B"/>
    <w:rsid w:val="00136BBE"/>
    <w:rsid w:val="001411A7"/>
    <w:rsid w:val="001413E3"/>
    <w:rsid w:val="00150874"/>
    <w:rsid w:val="00150A4A"/>
    <w:rsid w:val="00151EDC"/>
    <w:rsid w:val="00152508"/>
    <w:rsid w:val="001525C7"/>
    <w:rsid w:val="001527EC"/>
    <w:rsid w:val="00153547"/>
    <w:rsid w:val="00153B7A"/>
    <w:rsid w:val="0015561D"/>
    <w:rsid w:val="00156634"/>
    <w:rsid w:val="00157996"/>
    <w:rsid w:val="00160C20"/>
    <w:rsid w:val="001613F5"/>
    <w:rsid w:val="00161FF4"/>
    <w:rsid w:val="001622C6"/>
    <w:rsid w:val="00162353"/>
    <w:rsid w:val="001629D9"/>
    <w:rsid w:val="001637EC"/>
    <w:rsid w:val="001644FA"/>
    <w:rsid w:val="001657E3"/>
    <w:rsid w:val="00165DA2"/>
    <w:rsid w:val="0016681E"/>
    <w:rsid w:val="00166DDC"/>
    <w:rsid w:val="00167877"/>
    <w:rsid w:val="00171976"/>
    <w:rsid w:val="00172872"/>
    <w:rsid w:val="00172FBA"/>
    <w:rsid w:val="0017338B"/>
    <w:rsid w:val="00173D84"/>
    <w:rsid w:val="001746D8"/>
    <w:rsid w:val="001764C3"/>
    <w:rsid w:val="001768D4"/>
    <w:rsid w:val="00176F96"/>
    <w:rsid w:val="0018141E"/>
    <w:rsid w:val="00182282"/>
    <w:rsid w:val="0018375B"/>
    <w:rsid w:val="00183C29"/>
    <w:rsid w:val="00183FCF"/>
    <w:rsid w:val="0018454C"/>
    <w:rsid w:val="001854D7"/>
    <w:rsid w:val="00186743"/>
    <w:rsid w:val="00186937"/>
    <w:rsid w:val="001905B7"/>
    <w:rsid w:val="00191564"/>
    <w:rsid w:val="0019248E"/>
    <w:rsid w:val="0019256E"/>
    <w:rsid w:val="0019345E"/>
    <w:rsid w:val="00195DF3"/>
    <w:rsid w:val="00197DFB"/>
    <w:rsid w:val="001A0D04"/>
    <w:rsid w:val="001A0F04"/>
    <w:rsid w:val="001A274D"/>
    <w:rsid w:val="001A4A4F"/>
    <w:rsid w:val="001A5397"/>
    <w:rsid w:val="001A6007"/>
    <w:rsid w:val="001A6D9F"/>
    <w:rsid w:val="001A7362"/>
    <w:rsid w:val="001A79D7"/>
    <w:rsid w:val="001B05B7"/>
    <w:rsid w:val="001B3831"/>
    <w:rsid w:val="001B5C95"/>
    <w:rsid w:val="001B66B4"/>
    <w:rsid w:val="001B721B"/>
    <w:rsid w:val="001C01E6"/>
    <w:rsid w:val="001C0347"/>
    <w:rsid w:val="001C088F"/>
    <w:rsid w:val="001C1DB6"/>
    <w:rsid w:val="001C30F5"/>
    <w:rsid w:val="001C37F6"/>
    <w:rsid w:val="001C37F9"/>
    <w:rsid w:val="001C3B8A"/>
    <w:rsid w:val="001C3CB2"/>
    <w:rsid w:val="001C4174"/>
    <w:rsid w:val="001C5E8F"/>
    <w:rsid w:val="001C6CA3"/>
    <w:rsid w:val="001C7925"/>
    <w:rsid w:val="001D09D4"/>
    <w:rsid w:val="001D0F00"/>
    <w:rsid w:val="001D2430"/>
    <w:rsid w:val="001D34A9"/>
    <w:rsid w:val="001D4225"/>
    <w:rsid w:val="001D45D5"/>
    <w:rsid w:val="001D46A7"/>
    <w:rsid w:val="001D5AEE"/>
    <w:rsid w:val="001E1CCB"/>
    <w:rsid w:val="001E3BFB"/>
    <w:rsid w:val="001E5E72"/>
    <w:rsid w:val="001F1B75"/>
    <w:rsid w:val="001F2CC2"/>
    <w:rsid w:val="001F71C5"/>
    <w:rsid w:val="001F72AB"/>
    <w:rsid w:val="001F7FF6"/>
    <w:rsid w:val="00201BD2"/>
    <w:rsid w:val="00201EE6"/>
    <w:rsid w:val="00202064"/>
    <w:rsid w:val="00202AF1"/>
    <w:rsid w:val="00203105"/>
    <w:rsid w:val="002034F8"/>
    <w:rsid w:val="002041B8"/>
    <w:rsid w:val="002045C8"/>
    <w:rsid w:val="00205376"/>
    <w:rsid w:val="00206A59"/>
    <w:rsid w:val="002074D4"/>
    <w:rsid w:val="00210D33"/>
    <w:rsid w:val="00211ADC"/>
    <w:rsid w:val="00212790"/>
    <w:rsid w:val="00213091"/>
    <w:rsid w:val="002138EF"/>
    <w:rsid w:val="00215368"/>
    <w:rsid w:val="00216FA1"/>
    <w:rsid w:val="0022213B"/>
    <w:rsid w:val="002224AD"/>
    <w:rsid w:val="00222926"/>
    <w:rsid w:val="00222B21"/>
    <w:rsid w:val="00223F38"/>
    <w:rsid w:val="00224D43"/>
    <w:rsid w:val="00225B21"/>
    <w:rsid w:val="00226BEC"/>
    <w:rsid w:val="00227384"/>
    <w:rsid w:val="00227F7E"/>
    <w:rsid w:val="002303DB"/>
    <w:rsid w:val="002339DF"/>
    <w:rsid w:val="0023527D"/>
    <w:rsid w:val="00236077"/>
    <w:rsid w:val="00240452"/>
    <w:rsid w:val="002416C0"/>
    <w:rsid w:val="00244577"/>
    <w:rsid w:val="00245D30"/>
    <w:rsid w:val="00245FE4"/>
    <w:rsid w:val="0024600A"/>
    <w:rsid w:val="00247869"/>
    <w:rsid w:val="002546FD"/>
    <w:rsid w:val="00254832"/>
    <w:rsid w:val="00255651"/>
    <w:rsid w:val="00261A1C"/>
    <w:rsid w:val="0026400D"/>
    <w:rsid w:val="00264FBB"/>
    <w:rsid w:val="002656DF"/>
    <w:rsid w:val="00265A33"/>
    <w:rsid w:val="00266DBC"/>
    <w:rsid w:val="002672CC"/>
    <w:rsid w:val="002745DB"/>
    <w:rsid w:val="00275CB2"/>
    <w:rsid w:val="00280587"/>
    <w:rsid w:val="002814F2"/>
    <w:rsid w:val="002839D4"/>
    <w:rsid w:val="00284DC0"/>
    <w:rsid w:val="00285DBB"/>
    <w:rsid w:val="00286181"/>
    <w:rsid w:val="00287519"/>
    <w:rsid w:val="002903DA"/>
    <w:rsid w:val="00290BFC"/>
    <w:rsid w:val="00294A87"/>
    <w:rsid w:val="00295554"/>
    <w:rsid w:val="0029697E"/>
    <w:rsid w:val="00296F9A"/>
    <w:rsid w:val="002A06A8"/>
    <w:rsid w:val="002A2D88"/>
    <w:rsid w:val="002A38A5"/>
    <w:rsid w:val="002A3CE0"/>
    <w:rsid w:val="002A4844"/>
    <w:rsid w:val="002A4958"/>
    <w:rsid w:val="002A5B67"/>
    <w:rsid w:val="002A609B"/>
    <w:rsid w:val="002B0176"/>
    <w:rsid w:val="002B0567"/>
    <w:rsid w:val="002B0DBD"/>
    <w:rsid w:val="002B3820"/>
    <w:rsid w:val="002B4A43"/>
    <w:rsid w:val="002B6EBA"/>
    <w:rsid w:val="002C17CA"/>
    <w:rsid w:val="002C41AA"/>
    <w:rsid w:val="002C47A8"/>
    <w:rsid w:val="002C54CA"/>
    <w:rsid w:val="002D17FD"/>
    <w:rsid w:val="002D31A8"/>
    <w:rsid w:val="002D37B9"/>
    <w:rsid w:val="002D5150"/>
    <w:rsid w:val="002D5E38"/>
    <w:rsid w:val="002E1351"/>
    <w:rsid w:val="002E5044"/>
    <w:rsid w:val="002E5085"/>
    <w:rsid w:val="002E5109"/>
    <w:rsid w:val="002E5206"/>
    <w:rsid w:val="002E60B6"/>
    <w:rsid w:val="002E7C38"/>
    <w:rsid w:val="002F386C"/>
    <w:rsid w:val="002F6D11"/>
    <w:rsid w:val="002F7371"/>
    <w:rsid w:val="00303B53"/>
    <w:rsid w:val="00304582"/>
    <w:rsid w:val="00304901"/>
    <w:rsid w:val="00304FDD"/>
    <w:rsid w:val="0031058B"/>
    <w:rsid w:val="00310A03"/>
    <w:rsid w:val="00315C26"/>
    <w:rsid w:val="00315C38"/>
    <w:rsid w:val="00315FE2"/>
    <w:rsid w:val="00316602"/>
    <w:rsid w:val="00317550"/>
    <w:rsid w:val="00320C08"/>
    <w:rsid w:val="00321E0B"/>
    <w:rsid w:val="0032277E"/>
    <w:rsid w:val="0032279A"/>
    <w:rsid w:val="00323E04"/>
    <w:rsid w:val="00325F59"/>
    <w:rsid w:val="00326C25"/>
    <w:rsid w:val="003270D8"/>
    <w:rsid w:val="0032767E"/>
    <w:rsid w:val="0033010C"/>
    <w:rsid w:val="003314E2"/>
    <w:rsid w:val="00331530"/>
    <w:rsid w:val="003318BF"/>
    <w:rsid w:val="00334A19"/>
    <w:rsid w:val="0034155C"/>
    <w:rsid w:val="00342610"/>
    <w:rsid w:val="00343550"/>
    <w:rsid w:val="003452BF"/>
    <w:rsid w:val="0034580A"/>
    <w:rsid w:val="003478E4"/>
    <w:rsid w:val="00351873"/>
    <w:rsid w:val="0035387E"/>
    <w:rsid w:val="003538DD"/>
    <w:rsid w:val="00355960"/>
    <w:rsid w:val="003567C2"/>
    <w:rsid w:val="00356E3C"/>
    <w:rsid w:val="003618DC"/>
    <w:rsid w:val="003618E4"/>
    <w:rsid w:val="00362019"/>
    <w:rsid w:val="00362FBD"/>
    <w:rsid w:val="003632D5"/>
    <w:rsid w:val="0036521A"/>
    <w:rsid w:val="00365391"/>
    <w:rsid w:val="003701C0"/>
    <w:rsid w:val="0037290A"/>
    <w:rsid w:val="0037567C"/>
    <w:rsid w:val="00375F95"/>
    <w:rsid w:val="00381292"/>
    <w:rsid w:val="00383A28"/>
    <w:rsid w:val="0038762F"/>
    <w:rsid w:val="00391F75"/>
    <w:rsid w:val="003929A6"/>
    <w:rsid w:val="00393DED"/>
    <w:rsid w:val="003A2C8B"/>
    <w:rsid w:val="003A3AE6"/>
    <w:rsid w:val="003A4D47"/>
    <w:rsid w:val="003A5177"/>
    <w:rsid w:val="003A7052"/>
    <w:rsid w:val="003B030E"/>
    <w:rsid w:val="003B0BAD"/>
    <w:rsid w:val="003B1FEE"/>
    <w:rsid w:val="003B2E27"/>
    <w:rsid w:val="003B3207"/>
    <w:rsid w:val="003B55C9"/>
    <w:rsid w:val="003B5F36"/>
    <w:rsid w:val="003B7A3D"/>
    <w:rsid w:val="003C1618"/>
    <w:rsid w:val="003C2172"/>
    <w:rsid w:val="003C2CCF"/>
    <w:rsid w:val="003C3510"/>
    <w:rsid w:val="003C4F3D"/>
    <w:rsid w:val="003C53D0"/>
    <w:rsid w:val="003C7F3C"/>
    <w:rsid w:val="003D0C4A"/>
    <w:rsid w:val="003D191E"/>
    <w:rsid w:val="003D1BAB"/>
    <w:rsid w:val="003D2027"/>
    <w:rsid w:val="003D262C"/>
    <w:rsid w:val="003D3E40"/>
    <w:rsid w:val="003D468D"/>
    <w:rsid w:val="003D4A97"/>
    <w:rsid w:val="003D6F83"/>
    <w:rsid w:val="003D71EF"/>
    <w:rsid w:val="003E206A"/>
    <w:rsid w:val="003E2DA8"/>
    <w:rsid w:val="003E2EF9"/>
    <w:rsid w:val="003E3626"/>
    <w:rsid w:val="003E6F2F"/>
    <w:rsid w:val="003E70D7"/>
    <w:rsid w:val="003E75C2"/>
    <w:rsid w:val="003F103D"/>
    <w:rsid w:val="003F20D2"/>
    <w:rsid w:val="003F2FDD"/>
    <w:rsid w:val="003F4968"/>
    <w:rsid w:val="003F7A0F"/>
    <w:rsid w:val="003F7DDC"/>
    <w:rsid w:val="00400AA8"/>
    <w:rsid w:val="00401127"/>
    <w:rsid w:val="0040141C"/>
    <w:rsid w:val="00403CDA"/>
    <w:rsid w:val="00406969"/>
    <w:rsid w:val="00406D33"/>
    <w:rsid w:val="00407A67"/>
    <w:rsid w:val="004105E3"/>
    <w:rsid w:val="00410748"/>
    <w:rsid w:val="00410A07"/>
    <w:rsid w:val="0041596A"/>
    <w:rsid w:val="00417452"/>
    <w:rsid w:val="004176DF"/>
    <w:rsid w:val="0041775A"/>
    <w:rsid w:val="004222A4"/>
    <w:rsid w:val="00424F79"/>
    <w:rsid w:val="00424FE9"/>
    <w:rsid w:val="0042616C"/>
    <w:rsid w:val="004265AA"/>
    <w:rsid w:val="004311D5"/>
    <w:rsid w:val="00435AB4"/>
    <w:rsid w:val="00435D9F"/>
    <w:rsid w:val="00436300"/>
    <w:rsid w:val="00436415"/>
    <w:rsid w:val="00436F36"/>
    <w:rsid w:val="00437E7E"/>
    <w:rsid w:val="00441211"/>
    <w:rsid w:val="00441786"/>
    <w:rsid w:val="00441D8B"/>
    <w:rsid w:val="00442A6B"/>
    <w:rsid w:val="00442C76"/>
    <w:rsid w:val="00443221"/>
    <w:rsid w:val="00445CFF"/>
    <w:rsid w:val="00447282"/>
    <w:rsid w:val="00447CE2"/>
    <w:rsid w:val="0045159F"/>
    <w:rsid w:val="0045401F"/>
    <w:rsid w:val="0045578D"/>
    <w:rsid w:val="00463BB0"/>
    <w:rsid w:val="004643A6"/>
    <w:rsid w:val="004709D8"/>
    <w:rsid w:val="00471343"/>
    <w:rsid w:val="00472203"/>
    <w:rsid w:val="0047249B"/>
    <w:rsid w:val="00473F9A"/>
    <w:rsid w:val="00475AC2"/>
    <w:rsid w:val="00482DA4"/>
    <w:rsid w:val="00483515"/>
    <w:rsid w:val="00483638"/>
    <w:rsid w:val="00486B9B"/>
    <w:rsid w:val="00486CF9"/>
    <w:rsid w:val="0049103B"/>
    <w:rsid w:val="0049518B"/>
    <w:rsid w:val="00495849"/>
    <w:rsid w:val="004A0524"/>
    <w:rsid w:val="004A0E50"/>
    <w:rsid w:val="004A0F17"/>
    <w:rsid w:val="004A1111"/>
    <w:rsid w:val="004A21D6"/>
    <w:rsid w:val="004A3FCF"/>
    <w:rsid w:val="004A5213"/>
    <w:rsid w:val="004A6B0D"/>
    <w:rsid w:val="004A7C4C"/>
    <w:rsid w:val="004A7EF2"/>
    <w:rsid w:val="004B0190"/>
    <w:rsid w:val="004B0CDD"/>
    <w:rsid w:val="004B0E45"/>
    <w:rsid w:val="004B101D"/>
    <w:rsid w:val="004B1FAE"/>
    <w:rsid w:val="004B31CA"/>
    <w:rsid w:val="004B51EA"/>
    <w:rsid w:val="004B5315"/>
    <w:rsid w:val="004B6A08"/>
    <w:rsid w:val="004B6A7E"/>
    <w:rsid w:val="004B6AE7"/>
    <w:rsid w:val="004B7EE4"/>
    <w:rsid w:val="004C0FF3"/>
    <w:rsid w:val="004C2544"/>
    <w:rsid w:val="004C2A61"/>
    <w:rsid w:val="004C2FF8"/>
    <w:rsid w:val="004C3977"/>
    <w:rsid w:val="004C490D"/>
    <w:rsid w:val="004C65CE"/>
    <w:rsid w:val="004D0C4B"/>
    <w:rsid w:val="004D2F79"/>
    <w:rsid w:val="004D38F1"/>
    <w:rsid w:val="004D3AB7"/>
    <w:rsid w:val="004D41B9"/>
    <w:rsid w:val="004D453A"/>
    <w:rsid w:val="004D56D2"/>
    <w:rsid w:val="004D5974"/>
    <w:rsid w:val="004D7B87"/>
    <w:rsid w:val="004E1496"/>
    <w:rsid w:val="004E1568"/>
    <w:rsid w:val="004E2F1A"/>
    <w:rsid w:val="004E3926"/>
    <w:rsid w:val="004E6544"/>
    <w:rsid w:val="004E66F1"/>
    <w:rsid w:val="004E6A9B"/>
    <w:rsid w:val="004E6E9E"/>
    <w:rsid w:val="004E7645"/>
    <w:rsid w:val="004F00BD"/>
    <w:rsid w:val="004F020D"/>
    <w:rsid w:val="004F111B"/>
    <w:rsid w:val="004F1771"/>
    <w:rsid w:val="004F1D95"/>
    <w:rsid w:val="004F2568"/>
    <w:rsid w:val="004F30C2"/>
    <w:rsid w:val="004F3446"/>
    <w:rsid w:val="004F402B"/>
    <w:rsid w:val="004F4369"/>
    <w:rsid w:val="004F51B0"/>
    <w:rsid w:val="004F6AFA"/>
    <w:rsid w:val="004F6C69"/>
    <w:rsid w:val="004F7637"/>
    <w:rsid w:val="0050285E"/>
    <w:rsid w:val="005029FF"/>
    <w:rsid w:val="00504DB2"/>
    <w:rsid w:val="005060D0"/>
    <w:rsid w:val="00506EC6"/>
    <w:rsid w:val="00510283"/>
    <w:rsid w:val="00510F23"/>
    <w:rsid w:val="0051167F"/>
    <w:rsid w:val="005128D7"/>
    <w:rsid w:val="00512A7A"/>
    <w:rsid w:val="00514055"/>
    <w:rsid w:val="0051662C"/>
    <w:rsid w:val="00516D4C"/>
    <w:rsid w:val="00516E27"/>
    <w:rsid w:val="0051770B"/>
    <w:rsid w:val="0052122D"/>
    <w:rsid w:val="00521280"/>
    <w:rsid w:val="00522701"/>
    <w:rsid w:val="00524008"/>
    <w:rsid w:val="00530326"/>
    <w:rsid w:val="00530A7C"/>
    <w:rsid w:val="00532DAD"/>
    <w:rsid w:val="00534742"/>
    <w:rsid w:val="00534B25"/>
    <w:rsid w:val="00536E46"/>
    <w:rsid w:val="00537C68"/>
    <w:rsid w:val="00541CAA"/>
    <w:rsid w:val="00543EBF"/>
    <w:rsid w:val="005442CE"/>
    <w:rsid w:val="00544859"/>
    <w:rsid w:val="0054570F"/>
    <w:rsid w:val="00550162"/>
    <w:rsid w:val="00550C5B"/>
    <w:rsid w:val="0055230D"/>
    <w:rsid w:val="0055286C"/>
    <w:rsid w:val="00552E2F"/>
    <w:rsid w:val="00554253"/>
    <w:rsid w:val="005545BD"/>
    <w:rsid w:val="00556CBB"/>
    <w:rsid w:val="0055775B"/>
    <w:rsid w:val="00557CBE"/>
    <w:rsid w:val="0056121A"/>
    <w:rsid w:val="00562472"/>
    <w:rsid w:val="005637B1"/>
    <w:rsid w:val="0056492D"/>
    <w:rsid w:val="0056623A"/>
    <w:rsid w:val="005663E8"/>
    <w:rsid w:val="00567703"/>
    <w:rsid w:val="005718D7"/>
    <w:rsid w:val="005719F4"/>
    <w:rsid w:val="00572391"/>
    <w:rsid w:val="00574CA7"/>
    <w:rsid w:val="00575B79"/>
    <w:rsid w:val="00580B27"/>
    <w:rsid w:val="00582B12"/>
    <w:rsid w:val="00584BC4"/>
    <w:rsid w:val="005853A6"/>
    <w:rsid w:val="00587EB6"/>
    <w:rsid w:val="0059441A"/>
    <w:rsid w:val="00594D1E"/>
    <w:rsid w:val="0059640A"/>
    <w:rsid w:val="005A0CD1"/>
    <w:rsid w:val="005A2670"/>
    <w:rsid w:val="005A4696"/>
    <w:rsid w:val="005A6B47"/>
    <w:rsid w:val="005B0D3C"/>
    <w:rsid w:val="005B10EB"/>
    <w:rsid w:val="005B1266"/>
    <w:rsid w:val="005B1485"/>
    <w:rsid w:val="005B2767"/>
    <w:rsid w:val="005B3559"/>
    <w:rsid w:val="005B47CF"/>
    <w:rsid w:val="005B487C"/>
    <w:rsid w:val="005B6F33"/>
    <w:rsid w:val="005B747A"/>
    <w:rsid w:val="005B77A4"/>
    <w:rsid w:val="005C3324"/>
    <w:rsid w:val="005C3D88"/>
    <w:rsid w:val="005C500F"/>
    <w:rsid w:val="005C734A"/>
    <w:rsid w:val="005C7C10"/>
    <w:rsid w:val="005D1D2F"/>
    <w:rsid w:val="005D1DCD"/>
    <w:rsid w:val="005D347D"/>
    <w:rsid w:val="005D3ACE"/>
    <w:rsid w:val="005D446E"/>
    <w:rsid w:val="005D5249"/>
    <w:rsid w:val="005D78C8"/>
    <w:rsid w:val="005D7B4B"/>
    <w:rsid w:val="005E0B7E"/>
    <w:rsid w:val="005E0F3F"/>
    <w:rsid w:val="005E1C2C"/>
    <w:rsid w:val="005E242E"/>
    <w:rsid w:val="005E4A0D"/>
    <w:rsid w:val="005E4BDE"/>
    <w:rsid w:val="005E643A"/>
    <w:rsid w:val="005E7B6B"/>
    <w:rsid w:val="005F02CB"/>
    <w:rsid w:val="005F1A6B"/>
    <w:rsid w:val="005F3009"/>
    <w:rsid w:val="005F3997"/>
    <w:rsid w:val="005F3DBF"/>
    <w:rsid w:val="005F43A9"/>
    <w:rsid w:val="005F6B62"/>
    <w:rsid w:val="005F71EA"/>
    <w:rsid w:val="006002D9"/>
    <w:rsid w:val="006022B4"/>
    <w:rsid w:val="00602808"/>
    <w:rsid w:val="00602A7E"/>
    <w:rsid w:val="0060614C"/>
    <w:rsid w:val="00607DAF"/>
    <w:rsid w:val="00610814"/>
    <w:rsid w:val="00611467"/>
    <w:rsid w:val="0061221B"/>
    <w:rsid w:val="0061291A"/>
    <w:rsid w:val="00620296"/>
    <w:rsid w:val="00621DBD"/>
    <w:rsid w:val="006230D8"/>
    <w:rsid w:val="00625AC0"/>
    <w:rsid w:val="006279BC"/>
    <w:rsid w:val="00630B88"/>
    <w:rsid w:val="00630C57"/>
    <w:rsid w:val="006345F6"/>
    <w:rsid w:val="006440DB"/>
    <w:rsid w:val="0064532E"/>
    <w:rsid w:val="006454A7"/>
    <w:rsid w:val="00645F78"/>
    <w:rsid w:val="00646E63"/>
    <w:rsid w:val="00652559"/>
    <w:rsid w:val="0065727B"/>
    <w:rsid w:val="00660587"/>
    <w:rsid w:val="0066355D"/>
    <w:rsid w:val="006653B6"/>
    <w:rsid w:val="00666680"/>
    <w:rsid w:val="0066737B"/>
    <w:rsid w:val="0067113E"/>
    <w:rsid w:val="00673A56"/>
    <w:rsid w:val="00673EAE"/>
    <w:rsid w:val="00676849"/>
    <w:rsid w:val="00676F26"/>
    <w:rsid w:val="00680453"/>
    <w:rsid w:val="00681D7B"/>
    <w:rsid w:val="0068303B"/>
    <w:rsid w:val="006841A2"/>
    <w:rsid w:val="00684CC9"/>
    <w:rsid w:val="00685D75"/>
    <w:rsid w:val="00687085"/>
    <w:rsid w:val="00690748"/>
    <w:rsid w:val="00692B4A"/>
    <w:rsid w:val="00695A3C"/>
    <w:rsid w:val="00696EE5"/>
    <w:rsid w:val="006972A0"/>
    <w:rsid w:val="00697C07"/>
    <w:rsid w:val="006A0432"/>
    <w:rsid w:val="006A0F27"/>
    <w:rsid w:val="006A2432"/>
    <w:rsid w:val="006A5C17"/>
    <w:rsid w:val="006A63D0"/>
    <w:rsid w:val="006A6C19"/>
    <w:rsid w:val="006B2480"/>
    <w:rsid w:val="006B2723"/>
    <w:rsid w:val="006B29FD"/>
    <w:rsid w:val="006B33E6"/>
    <w:rsid w:val="006B5D7B"/>
    <w:rsid w:val="006C01E2"/>
    <w:rsid w:val="006C06E3"/>
    <w:rsid w:val="006C2030"/>
    <w:rsid w:val="006C2ECF"/>
    <w:rsid w:val="006C38C8"/>
    <w:rsid w:val="006C68D4"/>
    <w:rsid w:val="006C6942"/>
    <w:rsid w:val="006D029A"/>
    <w:rsid w:val="006D0FDC"/>
    <w:rsid w:val="006D29B9"/>
    <w:rsid w:val="006D2AF8"/>
    <w:rsid w:val="006D679F"/>
    <w:rsid w:val="006E2EC8"/>
    <w:rsid w:val="006E3464"/>
    <w:rsid w:val="006E4EAF"/>
    <w:rsid w:val="006E5459"/>
    <w:rsid w:val="006F0087"/>
    <w:rsid w:val="006F0A46"/>
    <w:rsid w:val="006F1421"/>
    <w:rsid w:val="006F2091"/>
    <w:rsid w:val="006F529B"/>
    <w:rsid w:val="006F55F4"/>
    <w:rsid w:val="006F592D"/>
    <w:rsid w:val="006F6482"/>
    <w:rsid w:val="006F6525"/>
    <w:rsid w:val="006F719B"/>
    <w:rsid w:val="007028A6"/>
    <w:rsid w:val="00705647"/>
    <w:rsid w:val="0070645D"/>
    <w:rsid w:val="00706B26"/>
    <w:rsid w:val="007101DB"/>
    <w:rsid w:val="0071148A"/>
    <w:rsid w:val="007116C5"/>
    <w:rsid w:val="00712DBD"/>
    <w:rsid w:val="00715D14"/>
    <w:rsid w:val="00716E2D"/>
    <w:rsid w:val="00720F42"/>
    <w:rsid w:val="00721368"/>
    <w:rsid w:val="00723EB2"/>
    <w:rsid w:val="007242B6"/>
    <w:rsid w:val="007256BE"/>
    <w:rsid w:val="00726705"/>
    <w:rsid w:val="00731445"/>
    <w:rsid w:val="007324DF"/>
    <w:rsid w:val="0073434A"/>
    <w:rsid w:val="0073595F"/>
    <w:rsid w:val="00736BB2"/>
    <w:rsid w:val="00740969"/>
    <w:rsid w:val="00742205"/>
    <w:rsid w:val="0074225A"/>
    <w:rsid w:val="007437D7"/>
    <w:rsid w:val="007439F3"/>
    <w:rsid w:val="00743EEC"/>
    <w:rsid w:val="00744CF8"/>
    <w:rsid w:val="00751646"/>
    <w:rsid w:val="00753969"/>
    <w:rsid w:val="00754873"/>
    <w:rsid w:val="007563E8"/>
    <w:rsid w:val="0075676F"/>
    <w:rsid w:val="00756E98"/>
    <w:rsid w:val="00756F79"/>
    <w:rsid w:val="0076103B"/>
    <w:rsid w:val="007614A2"/>
    <w:rsid w:val="007624DF"/>
    <w:rsid w:val="00764CE4"/>
    <w:rsid w:val="00767029"/>
    <w:rsid w:val="007670B8"/>
    <w:rsid w:val="007677FC"/>
    <w:rsid w:val="00770093"/>
    <w:rsid w:val="00770C7D"/>
    <w:rsid w:val="007723C9"/>
    <w:rsid w:val="00772E5F"/>
    <w:rsid w:val="00774E50"/>
    <w:rsid w:val="007768EF"/>
    <w:rsid w:val="00781363"/>
    <w:rsid w:val="007815ED"/>
    <w:rsid w:val="00783257"/>
    <w:rsid w:val="00783EDB"/>
    <w:rsid w:val="00784269"/>
    <w:rsid w:val="00784C26"/>
    <w:rsid w:val="00787DD8"/>
    <w:rsid w:val="00787E49"/>
    <w:rsid w:val="007900F0"/>
    <w:rsid w:val="007925A1"/>
    <w:rsid w:val="00792A20"/>
    <w:rsid w:val="007932B2"/>
    <w:rsid w:val="00793F39"/>
    <w:rsid w:val="007956B7"/>
    <w:rsid w:val="007977A5"/>
    <w:rsid w:val="007A083B"/>
    <w:rsid w:val="007A0BFD"/>
    <w:rsid w:val="007A104C"/>
    <w:rsid w:val="007A12B0"/>
    <w:rsid w:val="007A1FD8"/>
    <w:rsid w:val="007A232F"/>
    <w:rsid w:val="007A4B4F"/>
    <w:rsid w:val="007A58BC"/>
    <w:rsid w:val="007A7FAF"/>
    <w:rsid w:val="007B1455"/>
    <w:rsid w:val="007B1D46"/>
    <w:rsid w:val="007B25B9"/>
    <w:rsid w:val="007B5245"/>
    <w:rsid w:val="007B5FC5"/>
    <w:rsid w:val="007B6C38"/>
    <w:rsid w:val="007B709D"/>
    <w:rsid w:val="007B78E2"/>
    <w:rsid w:val="007C0A29"/>
    <w:rsid w:val="007C3784"/>
    <w:rsid w:val="007C3E32"/>
    <w:rsid w:val="007C528C"/>
    <w:rsid w:val="007C6CFE"/>
    <w:rsid w:val="007D0DA8"/>
    <w:rsid w:val="007D2078"/>
    <w:rsid w:val="007E02F7"/>
    <w:rsid w:val="007E0807"/>
    <w:rsid w:val="007E1493"/>
    <w:rsid w:val="007E3875"/>
    <w:rsid w:val="007E4453"/>
    <w:rsid w:val="007E7A5D"/>
    <w:rsid w:val="007F17C3"/>
    <w:rsid w:val="007F255B"/>
    <w:rsid w:val="007F3CEB"/>
    <w:rsid w:val="007F7201"/>
    <w:rsid w:val="00803992"/>
    <w:rsid w:val="00804183"/>
    <w:rsid w:val="008046CF"/>
    <w:rsid w:val="0080525D"/>
    <w:rsid w:val="00805CFA"/>
    <w:rsid w:val="008064B0"/>
    <w:rsid w:val="00810D0A"/>
    <w:rsid w:val="008130FB"/>
    <w:rsid w:val="00813972"/>
    <w:rsid w:val="0081441D"/>
    <w:rsid w:val="00814CD7"/>
    <w:rsid w:val="00815742"/>
    <w:rsid w:val="00816006"/>
    <w:rsid w:val="00816F25"/>
    <w:rsid w:val="008208FC"/>
    <w:rsid w:val="00822ABD"/>
    <w:rsid w:val="008231C8"/>
    <w:rsid w:val="008236CD"/>
    <w:rsid w:val="00823F54"/>
    <w:rsid w:val="00824D30"/>
    <w:rsid w:val="00826583"/>
    <w:rsid w:val="00831289"/>
    <w:rsid w:val="00831A51"/>
    <w:rsid w:val="00834314"/>
    <w:rsid w:val="00836CEC"/>
    <w:rsid w:val="00841C1F"/>
    <w:rsid w:val="00842A0F"/>
    <w:rsid w:val="00842C99"/>
    <w:rsid w:val="00842F49"/>
    <w:rsid w:val="0084351F"/>
    <w:rsid w:val="00843FA4"/>
    <w:rsid w:val="0084443C"/>
    <w:rsid w:val="00844DEB"/>
    <w:rsid w:val="00845313"/>
    <w:rsid w:val="00846478"/>
    <w:rsid w:val="00847899"/>
    <w:rsid w:val="00850BF9"/>
    <w:rsid w:val="00855D60"/>
    <w:rsid w:val="00856B65"/>
    <w:rsid w:val="00860418"/>
    <w:rsid w:val="00860592"/>
    <w:rsid w:val="00865782"/>
    <w:rsid w:val="00865D9D"/>
    <w:rsid w:val="00866D0A"/>
    <w:rsid w:val="00866D4E"/>
    <w:rsid w:val="008671C5"/>
    <w:rsid w:val="00870393"/>
    <w:rsid w:val="008733A3"/>
    <w:rsid w:val="008733E2"/>
    <w:rsid w:val="00873A13"/>
    <w:rsid w:val="00873EC2"/>
    <w:rsid w:val="0087425C"/>
    <w:rsid w:val="008742FD"/>
    <w:rsid w:val="00874956"/>
    <w:rsid w:val="0087580F"/>
    <w:rsid w:val="00880A31"/>
    <w:rsid w:val="00881A06"/>
    <w:rsid w:val="00882919"/>
    <w:rsid w:val="008835C4"/>
    <w:rsid w:val="0088398B"/>
    <w:rsid w:val="00883A0F"/>
    <w:rsid w:val="00883BB3"/>
    <w:rsid w:val="00884597"/>
    <w:rsid w:val="00886804"/>
    <w:rsid w:val="008878D2"/>
    <w:rsid w:val="008917DC"/>
    <w:rsid w:val="00894785"/>
    <w:rsid w:val="00895A6A"/>
    <w:rsid w:val="008975DF"/>
    <w:rsid w:val="0089761A"/>
    <w:rsid w:val="008A0AF7"/>
    <w:rsid w:val="008A17DB"/>
    <w:rsid w:val="008A4B6E"/>
    <w:rsid w:val="008A5227"/>
    <w:rsid w:val="008A5923"/>
    <w:rsid w:val="008A5B1D"/>
    <w:rsid w:val="008A5E1D"/>
    <w:rsid w:val="008A7BDA"/>
    <w:rsid w:val="008B0B2B"/>
    <w:rsid w:val="008B2B7E"/>
    <w:rsid w:val="008B3714"/>
    <w:rsid w:val="008B4559"/>
    <w:rsid w:val="008B4FED"/>
    <w:rsid w:val="008C1DE1"/>
    <w:rsid w:val="008C1EE5"/>
    <w:rsid w:val="008C2780"/>
    <w:rsid w:val="008C2AC2"/>
    <w:rsid w:val="008C2DCA"/>
    <w:rsid w:val="008C4241"/>
    <w:rsid w:val="008C5C00"/>
    <w:rsid w:val="008C78B7"/>
    <w:rsid w:val="008D063F"/>
    <w:rsid w:val="008D180D"/>
    <w:rsid w:val="008D4757"/>
    <w:rsid w:val="008D70E3"/>
    <w:rsid w:val="008E07D3"/>
    <w:rsid w:val="008E0B77"/>
    <w:rsid w:val="008E3310"/>
    <w:rsid w:val="008E3675"/>
    <w:rsid w:val="008E5886"/>
    <w:rsid w:val="008E5F6D"/>
    <w:rsid w:val="008F0D46"/>
    <w:rsid w:val="008F25E9"/>
    <w:rsid w:val="008F37B9"/>
    <w:rsid w:val="008F37BC"/>
    <w:rsid w:val="008F5149"/>
    <w:rsid w:val="008F6569"/>
    <w:rsid w:val="008F6984"/>
    <w:rsid w:val="008F6CAF"/>
    <w:rsid w:val="008F7A0E"/>
    <w:rsid w:val="0090126A"/>
    <w:rsid w:val="00901A62"/>
    <w:rsid w:val="00901D28"/>
    <w:rsid w:val="00904E56"/>
    <w:rsid w:val="00905AE1"/>
    <w:rsid w:val="009065F0"/>
    <w:rsid w:val="00906DFA"/>
    <w:rsid w:val="00910019"/>
    <w:rsid w:val="00910F7F"/>
    <w:rsid w:val="00911BD5"/>
    <w:rsid w:val="00911E90"/>
    <w:rsid w:val="00912786"/>
    <w:rsid w:val="00912E9B"/>
    <w:rsid w:val="00912F6C"/>
    <w:rsid w:val="00913915"/>
    <w:rsid w:val="009146F8"/>
    <w:rsid w:val="00915954"/>
    <w:rsid w:val="009170F5"/>
    <w:rsid w:val="00917E66"/>
    <w:rsid w:val="00917F43"/>
    <w:rsid w:val="009220C3"/>
    <w:rsid w:val="00922960"/>
    <w:rsid w:val="00922FC7"/>
    <w:rsid w:val="0092622A"/>
    <w:rsid w:val="009263C2"/>
    <w:rsid w:val="00927249"/>
    <w:rsid w:val="0093019B"/>
    <w:rsid w:val="00931146"/>
    <w:rsid w:val="009316D1"/>
    <w:rsid w:val="0093212F"/>
    <w:rsid w:val="0093387A"/>
    <w:rsid w:val="009348F1"/>
    <w:rsid w:val="00936340"/>
    <w:rsid w:val="009371ED"/>
    <w:rsid w:val="00940D51"/>
    <w:rsid w:val="00942039"/>
    <w:rsid w:val="00945C97"/>
    <w:rsid w:val="00947119"/>
    <w:rsid w:val="00950E70"/>
    <w:rsid w:val="00951503"/>
    <w:rsid w:val="009533D0"/>
    <w:rsid w:val="00954FF3"/>
    <w:rsid w:val="00955158"/>
    <w:rsid w:val="00960314"/>
    <w:rsid w:val="00960CCA"/>
    <w:rsid w:val="00960F97"/>
    <w:rsid w:val="0096162B"/>
    <w:rsid w:val="009619AB"/>
    <w:rsid w:val="00962347"/>
    <w:rsid w:val="00964F94"/>
    <w:rsid w:val="0096535F"/>
    <w:rsid w:val="009664BB"/>
    <w:rsid w:val="00966884"/>
    <w:rsid w:val="00967ED2"/>
    <w:rsid w:val="00971D11"/>
    <w:rsid w:val="00971E3D"/>
    <w:rsid w:val="00972462"/>
    <w:rsid w:val="00972DD9"/>
    <w:rsid w:val="00977009"/>
    <w:rsid w:val="00977432"/>
    <w:rsid w:val="009818B8"/>
    <w:rsid w:val="00982516"/>
    <w:rsid w:val="00984CE9"/>
    <w:rsid w:val="0098533B"/>
    <w:rsid w:val="009910E0"/>
    <w:rsid w:val="0099191B"/>
    <w:rsid w:val="00992303"/>
    <w:rsid w:val="00993EDB"/>
    <w:rsid w:val="00994813"/>
    <w:rsid w:val="009954A1"/>
    <w:rsid w:val="009A05E6"/>
    <w:rsid w:val="009A45D3"/>
    <w:rsid w:val="009A6FA1"/>
    <w:rsid w:val="009A7791"/>
    <w:rsid w:val="009B0F6D"/>
    <w:rsid w:val="009B1307"/>
    <w:rsid w:val="009B2A33"/>
    <w:rsid w:val="009B653E"/>
    <w:rsid w:val="009B731A"/>
    <w:rsid w:val="009C0268"/>
    <w:rsid w:val="009C134D"/>
    <w:rsid w:val="009C14AD"/>
    <w:rsid w:val="009C2781"/>
    <w:rsid w:val="009C403B"/>
    <w:rsid w:val="009C5808"/>
    <w:rsid w:val="009C6A5A"/>
    <w:rsid w:val="009C7533"/>
    <w:rsid w:val="009C7800"/>
    <w:rsid w:val="009D0462"/>
    <w:rsid w:val="009D0713"/>
    <w:rsid w:val="009D0C6E"/>
    <w:rsid w:val="009D4936"/>
    <w:rsid w:val="009D4D21"/>
    <w:rsid w:val="009D572F"/>
    <w:rsid w:val="009D75C0"/>
    <w:rsid w:val="009E055F"/>
    <w:rsid w:val="009F0816"/>
    <w:rsid w:val="009F0B84"/>
    <w:rsid w:val="009F1D3E"/>
    <w:rsid w:val="009F25C5"/>
    <w:rsid w:val="009F5815"/>
    <w:rsid w:val="009F5AF0"/>
    <w:rsid w:val="009F7B68"/>
    <w:rsid w:val="00A00FFD"/>
    <w:rsid w:val="00A025DF"/>
    <w:rsid w:val="00A03435"/>
    <w:rsid w:val="00A04705"/>
    <w:rsid w:val="00A04DF6"/>
    <w:rsid w:val="00A04F2C"/>
    <w:rsid w:val="00A05338"/>
    <w:rsid w:val="00A05EF3"/>
    <w:rsid w:val="00A0790A"/>
    <w:rsid w:val="00A07B02"/>
    <w:rsid w:val="00A1305B"/>
    <w:rsid w:val="00A146A1"/>
    <w:rsid w:val="00A16196"/>
    <w:rsid w:val="00A203AB"/>
    <w:rsid w:val="00A203F0"/>
    <w:rsid w:val="00A20A67"/>
    <w:rsid w:val="00A220D5"/>
    <w:rsid w:val="00A23192"/>
    <w:rsid w:val="00A23BA0"/>
    <w:rsid w:val="00A23C7A"/>
    <w:rsid w:val="00A24375"/>
    <w:rsid w:val="00A24E51"/>
    <w:rsid w:val="00A24E63"/>
    <w:rsid w:val="00A24F60"/>
    <w:rsid w:val="00A25ED6"/>
    <w:rsid w:val="00A279A0"/>
    <w:rsid w:val="00A27E50"/>
    <w:rsid w:val="00A326A1"/>
    <w:rsid w:val="00A33577"/>
    <w:rsid w:val="00A337E6"/>
    <w:rsid w:val="00A34469"/>
    <w:rsid w:val="00A34E86"/>
    <w:rsid w:val="00A36FF0"/>
    <w:rsid w:val="00A370D2"/>
    <w:rsid w:val="00A3781C"/>
    <w:rsid w:val="00A418E8"/>
    <w:rsid w:val="00A42F37"/>
    <w:rsid w:val="00A44563"/>
    <w:rsid w:val="00A469C6"/>
    <w:rsid w:val="00A50023"/>
    <w:rsid w:val="00A516B6"/>
    <w:rsid w:val="00A52544"/>
    <w:rsid w:val="00A529A0"/>
    <w:rsid w:val="00A52A81"/>
    <w:rsid w:val="00A538DD"/>
    <w:rsid w:val="00A5518F"/>
    <w:rsid w:val="00A5691B"/>
    <w:rsid w:val="00A626EF"/>
    <w:rsid w:val="00A63C9C"/>
    <w:rsid w:val="00A65086"/>
    <w:rsid w:val="00A657A7"/>
    <w:rsid w:val="00A66ABE"/>
    <w:rsid w:val="00A678AF"/>
    <w:rsid w:val="00A70213"/>
    <w:rsid w:val="00A71359"/>
    <w:rsid w:val="00A71D2E"/>
    <w:rsid w:val="00A71E35"/>
    <w:rsid w:val="00A73E3F"/>
    <w:rsid w:val="00A74E0A"/>
    <w:rsid w:val="00A77ACB"/>
    <w:rsid w:val="00A8028E"/>
    <w:rsid w:val="00A80BA8"/>
    <w:rsid w:val="00A814FB"/>
    <w:rsid w:val="00A83C2A"/>
    <w:rsid w:val="00A85D46"/>
    <w:rsid w:val="00A85E48"/>
    <w:rsid w:val="00A87CB8"/>
    <w:rsid w:val="00A910A7"/>
    <w:rsid w:val="00AA0B89"/>
    <w:rsid w:val="00AA10B8"/>
    <w:rsid w:val="00AA1F52"/>
    <w:rsid w:val="00AA1FDC"/>
    <w:rsid w:val="00AA347F"/>
    <w:rsid w:val="00AA405C"/>
    <w:rsid w:val="00AA5308"/>
    <w:rsid w:val="00AB04F8"/>
    <w:rsid w:val="00AB3E61"/>
    <w:rsid w:val="00AB64D1"/>
    <w:rsid w:val="00AC0331"/>
    <w:rsid w:val="00AC0BA0"/>
    <w:rsid w:val="00AC1213"/>
    <w:rsid w:val="00AC1D0C"/>
    <w:rsid w:val="00AC277D"/>
    <w:rsid w:val="00AC2B7D"/>
    <w:rsid w:val="00AC4F9E"/>
    <w:rsid w:val="00AC611E"/>
    <w:rsid w:val="00AC7D98"/>
    <w:rsid w:val="00AC7F58"/>
    <w:rsid w:val="00AD0589"/>
    <w:rsid w:val="00AD3FE7"/>
    <w:rsid w:val="00AD4566"/>
    <w:rsid w:val="00AD4BBD"/>
    <w:rsid w:val="00AD59F4"/>
    <w:rsid w:val="00AE0D1C"/>
    <w:rsid w:val="00AE134E"/>
    <w:rsid w:val="00AE3B58"/>
    <w:rsid w:val="00AE4F10"/>
    <w:rsid w:val="00AE6B62"/>
    <w:rsid w:val="00AE7991"/>
    <w:rsid w:val="00AE7D13"/>
    <w:rsid w:val="00AF27F6"/>
    <w:rsid w:val="00AF2CB1"/>
    <w:rsid w:val="00AF2EBA"/>
    <w:rsid w:val="00AF3B97"/>
    <w:rsid w:val="00AF3D2C"/>
    <w:rsid w:val="00AF4BD8"/>
    <w:rsid w:val="00AF73CC"/>
    <w:rsid w:val="00B00E03"/>
    <w:rsid w:val="00B013B0"/>
    <w:rsid w:val="00B01BC7"/>
    <w:rsid w:val="00B042C4"/>
    <w:rsid w:val="00B0666B"/>
    <w:rsid w:val="00B071F4"/>
    <w:rsid w:val="00B0760A"/>
    <w:rsid w:val="00B07636"/>
    <w:rsid w:val="00B14797"/>
    <w:rsid w:val="00B17645"/>
    <w:rsid w:val="00B20461"/>
    <w:rsid w:val="00B2091B"/>
    <w:rsid w:val="00B24141"/>
    <w:rsid w:val="00B241E2"/>
    <w:rsid w:val="00B269C9"/>
    <w:rsid w:val="00B30EA9"/>
    <w:rsid w:val="00B31B31"/>
    <w:rsid w:val="00B32AA0"/>
    <w:rsid w:val="00B36534"/>
    <w:rsid w:val="00B36FFC"/>
    <w:rsid w:val="00B37B39"/>
    <w:rsid w:val="00B429DF"/>
    <w:rsid w:val="00B42A73"/>
    <w:rsid w:val="00B42DE5"/>
    <w:rsid w:val="00B4546F"/>
    <w:rsid w:val="00B458F6"/>
    <w:rsid w:val="00B468F7"/>
    <w:rsid w:val="00B47321"/>
    <w:rsid w:val="00B505D0"/>
    <w:rsid w:val="00B509CC"/>
    <w:rsid w:val="00B5137A"/>
    <w:rsid w:val="00B519D9"/>
    <w:rsid w:val="00B5286A"/>
    <w:rsid w:val="00B53185"/>
    <w:rsid w:val="00B54439"/>
    <w:rsid w:val="00B54FCF"/>
    <w:rsid w:val="00B565D2"/>
    <w:rsid w:val="00B56F5B"/>
    <w:rsid w:val="00B576AD"/>
    <w:rsid w:val="00B579AB"/>
    <w:rsid w:val="00B63008"/>
    <w:rsid w:val="00B647F7"/>
    <w:rsid w:val="00B65972"/>
    <w:rsid w:val="00B707A6"/>
    <w:rsid w:val="00B710F4"/>
    <w:rsid w:val="00B7304A"/>
    <w:rsid w:val="00B73E7C"/>
    <w:rsid w:val="00B751A3"/>
    <w:rsid w:val="00B763DD"/>
    <w:rsid w:val="00B8013C"/>
    <w:rsid w:val="00B80747"/>
    <w:rsid w:val="00B80AB8"/>
    <w:rsid w:val="00B810D0"/>
    <w:rsid w:val="00B81FC8"/>
    <w:rsid w:val="00B82050"/>
    <w:rsid w:val="00B833E9"/>
    <w:rsid w:val="00B83A0D"/>
    <w:rsid w:val="00B84A59"/>
    <w:rsid w:val="00B85160"/>
    <w:rsid w:val="00B8541A"/>
    <w:rsid w:val="00B86DB4"/>
    <w:rsid w:val="00B8787E"/>
    <w:rsid w:val="00B9008A"/>
    <w:rsid w:val="00B90855"/>
    <w:rsid w:val="00B924F0"/>
    <w:rsid w:val="00B9330A"/>
    <w:rsid w:val="00B940A5"/>
    <w:rsid w:val="00B94F3F"/>
    <w:rsid w:val="00B96376"/>
    <w:rsid w:val="00B96948"/>
    <w:rsid w:val="00BA0001"/>
    <w:rsid w:val="00BA1BF6"/>
    <w:rsid w:val="00BA2576"/>
    <w:rsid w:val="00BA4FEA"/>
    <w:rsid w:val="00BA7699"/>
    <w:rsid w:val="00BB200B"/>
    <w:rsid w:val="00BB296C"/>
    <w:rsid w:val="00BB3CFB"/>
    <w:rsid w:val="00BB4E06"/>
    <w:rsid w:val="00BC1354"/>
    <w:rsid w:val="00BC5364"/>
    <w:rsid w:val="00BC558B"/>
    <w:rsid w:val="00BC59BF"/>
    <w:rsid w:val="00BC702C"/>
    <w:rsid w:val="00BC7523"/>
    <w:rsid w:val="00BC7B00"/>
    <w:rsid w:val="00BC7F79"/>
    <w:rsid w:val="00BD197E"/>
    <w:rsid w:val="00BD3482"/>
    <w:rsid w:val="00BD4A6A"/>
    <w:rsid w:val="00BD4D7B"/>
    <w:rsid w:val="00BD7C96"/>
    <w:rsid w:val="00BE04FE"/>
    <w:rsid w:val="00BE0D38"/>
    <w:rsid w:val="00BE4A62"/>
    <w:rsid w:val="00BF06E1"/>
    <w:rsid w:val="00BF0D0B"/>
    <w:rsid w:val="00BF2527"/>
    <w:rsid w:val="00BF2B0B"/>
    <w:rsid w:val="00BF4B0D"/>
    <w:rsid w:val="00BF5B43"/>
    <w:rsid w:val="00BF7224"/>
    <w:rsid w:val="00C01949"/>
    <w:rsid w:val="00C05357"/>
    <w:rsid w:val="00C057C7"/>
    <w:rsid w:val="00C074A4"/>
    <w:rsid w:val="00C07AB7"/>
    <w:rsid w:val="00C108C2"/>
    <w:rsid w:val="00C10F5D"/>
    <w:rsid w:val="00C11A83"/>
    <w:rsid w:val="00C12283"/>
    <w:rsid w:val="00C1274F"/>
    <w:rsid w:val="00C13A55"/>
    <w:rsid w:val="00C13DA7"/>
    <w:rsid w:val="00C144B7"/>
    <w:rsid w:val="00C151F5"/>
    <w:rsid w:val="00C177D9"/>
    <w:rsid w:val="00C17C01"/>
    <w:rsid w:val="00C20145"/>
    <w:rsid w:val="00C2032A"/>
    <w:rsid w:val="00C209BA"/>
    <w:rsid w:val="00C23494"/>
    <w:rsid w:val="00C23B96"/>
    <w:rsid w:val="00C24BF4"/>
    <w:rsid w:val="00C31527"/>
    <w:rsid w:val="00C31CCC"/>
    <w:rsid w:val="00C31F40"/>
    <w:rsid w:val="00C32F58"/>
    <w:rsid w:val="00C338D7"/>
    <w:rsid w:val="00C3530C"/>
    <w:rsid w:val="00C35377"/>
    <w:rsid w:val="00C40BAA"/>
    <w:rsid w:val="00C41C1F"/>
    <w:rsid w:val="00C42B8B"/>
    <w:rsid w:val="00C42DD5"/>
    <w:rsid w:val="00C43B94"/>
    <w:rsid w:val="00C44769"/>
    <w:rsid w:val="00C46174"/>
    <w:rsid w:val="00C536A0"/>
    <w:rsid w:val="00C541AE"/>
    <w:rsid w:val="00C6195E"/>
    <w:rsid w:val="00C62DD7"/>
    <w:rsid w:val="00C64203"/>
    <w:rsid w:val="00C643B5"/>
    <w:rsid w:val="00C652BD"/>
    <w:rsid w:val="00C675EA"/>
    <w:rsid w:val="00C701CD"/>
    <w:rsid w:val="00C703B7"/>
    <w:rsid w:val="00C73518"/>
    <w:rsid w:val="00C7661E"/>
    <w:rsid w:val="00C80FAA"/>
    <w:rsid w:val="00C810B5"/>
    <w:rsid w:val="00C810C6"/>
    <w:rsid w:val="00C81115"/>
    <w:rsid w:val="00C82D73"/>
    <w:rsid w:val="00C86C47"/>
    <w:rsid w:val="00C87607"/>
    <w:rsid w:val="00C87A2C"/>
    <w:rsid w:val="00C91BB5"/>
    <w:rsid w:val="00C92F26"/>
    <w:rsid w:val="00C94A78"/>
    <w:rsid w:val="00C9594D"/>
    <w:rsid w:val="00CA2074"/>
    <w:rsid w:val="00CA2B4A"/>
    <w:rsid w:val="00CA58C8"/>
    <w:rsid w:val="00CA5D34"/>
    <w:rsid w:val="00CA666B"/>
    <w:rsid w:val="00CA66FA"/>
    <w:rsid w:val="00CA727F"/>
    <w:rsid w:val="00CA7BF7"/>
    <w:rsid w:val="00CB3F98"/>
    <w:rsid w:val="00CB618F"/>
    <w:rsid w:val="00CC0D8A"/>
    <w:rsid w:val="00CC21BF"/>
    <w:rsid w:val="00CC3813"/>
    <w:rsid w:val="00CC3A2B"/>
    <w:rsid w:val="00CC423F"/>
    <w:rsid w:val="00CC589A"/>
    <w:rsid w:val="00CD09A4"/>
    <w:rsid w:val="00CD0FB6"/>
    <w:rsid w:val="00CD30B2"/>
    <w:rsid w:val="00CD5D56"/>
    <w:rsid w:val="00CD78FC"/>
    <w:rsid w:val="00CD7A6C"/>
    <w:rsid w:val="00CE26B4"/>
    <w:rsid w:val="00CE2D3C"/>
    <w:rsid w:val="00CE3B46"/>
    <w:rsid w:val="00CE401B"/>
    <w:rsid w:val="00CE5334"/>
    <w:rsid w:val="00CE67C3"/>
    <w:rsid w:val="00CE67E2"/>
    <w:rsid w:val="00CE7AAE"/>
    <w:rsid w:val="00CF01C1"/>
    <w:rsid w:val="00CF15D1"/>
    <w:rsid w:val="00CF2F5B"/>
    <w:rsid w:val="00CF33D8"/>
    <w:rsid w:val="00CF3FA3"/>
    <w:rsid w:val="00CF4123"/>
    <w:rsid w:val="00CF4E6B"/>
    <w:rsid w:val="00CF60D0"/>
    <w:rsid w:val="00CF630D"/>
    <w:rsid w:val="00CF7762"/>
    <w:rsid w:val="00CF7CF2"/>
    <w:rsid w:val="00D03983"/>
    <w:rsid w:val="00D04271"/>
    <w:rsid w:val="00D044E3"/>
    <w:rsid w:val="00D066B0"/>
    <w:rsid w:val="00D07BCB"/>
    <w:rsid w:val="00D137B4"/>
    <w:rsid w:val="00D17D01"/>
    <w:rsid w:val="00D20BF7"/>
    <w:rsid w:val="00D2415A"/>
    <w:rsid w:val="00D30280"/>
    <w:rsid w:val="00D30CC1"/>
    <w:rsid w:val="00D31B40"/>
    <w:rsid w:val="00D32EB0"/>
    <w:rsid w:val="00D33F50"/>
    <w:rsid w:val="00D34DFA"/>
    <w:rsid w:val="00D3653B"/>
    <w:rsid w:val="00D4008B"/>
    <w:rsid w:val="00D47626"/>
    <w:rsid w:val="00D50B1E"/>
    <w:rsid w:val="00D519F1"/>
    <w:rsid w:val="00D51F01"/>
    <w:rsid w:val="00D53EDA"/>
    <w:rsid w:val="00D560B3"/>
    <w:rsid w:val="00D56EFA"/>
    <w:rsid w:val="00D57377"/>
    <w:rsid w:val="00D579A8"/>
    <w:rsid w:val="00D622EE"/>
    <w:rsid w:val="00D63546"/>
    <w:rsid w:val="00D6373C"/>
    <w:rsid w:val="00D6596B"/>
    <w:rsid w:val="00D65CCF"/>
    <w:rsid w:val="00D67E53"/>
    <w:rsid w:val="00D7006D"/>
    <w:rsid w:val="00D70117"/>
    <w:rsid w:val="00D723D5"/>
    <w:rsid w:val="00D72F23"/>
    <w:rsid w:val="00D7366A"/>
    <w:rsid w:val="00D73F99"/>
    <w:rsid w:val="00D741E3"/>
    <w:rsid w:val="00D74509"/>
    <w:rsid w:val="00D74F19"/>
    <w:rsid w:val="00D76A4F"/>
    <w:rsid w:val="00D77292"/>
    <w:rsid w:val="00D80CB3"/>
    <w:rsid w:val="00D81766"/>
    <w:rsid w:val="00D8493A"/>
    <w:rsid w:val="00D87B52"/>
    <w:rsid w:val="00D90F0B"/>
    <w:rsid w:val="00D9115E"/>
    <w:rsid w:val="00D9173A"/>
    <w:rsid w:val="00D924B2"/>
    <w:rsid w:val="00D936B1"/>
    <w:rsid w:val="00D95BE0"/>
    <w:rsid w:val="00D95CFE"/>
    <w:rsid w:val="00D966A0"/>
    <w:rsid w:val="00D966F5"/>
    <w:rsid w:val="00D96F9E"/>
    <w:rsid w:val="00D97382"/>
    <w:rsid w:val="00D97769"/>
    <w:rsid w:val="00DA0AFF"/>
    <w:rsid w:val="00DA1AD5"/>
    <w:rsid w:val="00DA1ADA"/>
    <w:rsid w:val="00DA23EB"/>
    <w:rsid w:val="00DA297C"/>
    <w:rsid w:val="00DA2E68"/>
    <w:rsid w:val="00DA335A"/>
    <w:rsid w:val="00DA50F1"/>
    <w:rsid w:val="00DA69B8"/>
    <w:rsid w:val="00DA7AB1"/>
    <w:rsid w:val="00DB106D"/>
    <w:rsid w:val="00DB12DA"/>
    <w:rsid w:val="00DB36B6"/>
    <w:rsid w:val="00DB3C3D"/>
    <w:rsid w:val="00DB67EA"/>
    <w:rsid w:val="00DB76D6"/>
    <w:rsid w:val="00DB7CDC"/>
    <w:rsid w:val="00DC0C05"/>
    <w:rsid w:val="00DC0CA2"/>
    <w:rsid w:val="00DC1507"/>
    <w:rsid w:val="00DD1E28"/>
    <w:rsid w:val="00DD22EF"/>
    <w:rsid w:val="00DD2BC5"/>
    <w:rsid w:val="00DD39F9"/>
    <w:rsid w:val="00DD3D4E"/>
    <w:rsid w:val="00DD50C5"/>
    <w:rsid w:val="00DD546A"/>
    <w:rsid w:val="00DD71AB"/>
    <w:rsid w:val="00DD7B3D"/>
    <w:rsid w:val="00DE0B7E"/>
    <w:rsid w:val="00DE14DF"/>
    <w:rsid w:val="00DE3152"/>
    <w:rsid w:val="00DE5757"/>
    <w:rsid w:val="00DE6D01"/>
    <w:rsid w:val="00DE72B8"/>
    <w:rsid w:val="00DF0AAA"/>
    <w:rsid w:val="00DF0F93"/>
    <w:rsid w:val="00DF1E15"/>
    <w:rsid w:val="00DF39B2"/>
    <w:rsid w:val="00DF7D77"/>
    <w:rsid w:val="00E01695"/>
    <w:rsid w:val="00E04311"/>
    <w:rsid w:val="00E064A8"/>
    <w:rsid w:val="00E06669"/>
    <w:rsid w:val="00E07323"/>
    <w:rsid w:val="00E079EF"/>
    <w:rsid w:val="00E10712"/>
    <w:rsid w:val="00E10720"/>
    <w:rsid w:val="00E10C87"/>
    <w:rsid w:val="00E125CC"/>
    <w:rsid w:val="00E12816"/>
    <w:rsid w:val="00E14065"/>
    <w:rsid w:val="00E15FE5"/>
    <w:rsid w:val="00E16975"/>
    <w:rsid w:val="00E21A4D"/>
    <w:rsid w:val="00E236A5"/>
    <w:rsid w:val="00E25685"/>
    <w:rsid w:val="00E26883"/>
    <w:rsid w:val="00E26D1D"/>
    <w:rsid w:val="00E27541"/>
    <w:rsid w:val="00E27B64"/>
    <w:rsid w:val="00E35244"/>
    <w:rsid w:val="00E40006"/>
    <w:rsid w:val="00E4100A"/>
    <w:rsid w:val="00E465CF"/>
    <w:rsid w:val="00E51E43"/>
    <w:rsid w:val="00E51F44"/>
    <w:rsid w:val="00E52E6A"/>
    <w:rsid w:val="00E54A2C"/>
    <w:rsid w:val="00E559F7"/>
    <w:rsid w:val="00E56965"/>
    <w:rsid w:val="00E57D7B"/>
    <w:rsid w:val="00E6204F"/>
    <w:rsid w:val="00E62B87"/>
    <w:rsid w:val="00E64CBC"/>
    <w:rsid w:val="00E65B2B"/>
    <w:rsid w:val="00E70862"/>
    <w:rsid w:val="00E71053"/>
    <w:rsid w:val="00E72E63"/>
    <w:rsid w:val="00E73AFD"/>
    <w:rsid w:val="00E7713C"/>
    <w:rsid w:val="00E77271"/>
    <w:rsid w:val="00E8292D"/>
    <w:rsid w:val="00E82D12"/>
    <w:rsid w:val="00E83D74"/>
    <w:rsid w:val="00E84B27"/>
    <w:rsid w:val="00E87C04"/>
    <w:rsid w:val="00E87E85"/>
    <w:rsid w:val="00E87FBD"/>
    <w:rsid w:val="00E91CAF"/>
    <w:rsid w:val="00E922B5"/>
    <w:rsid w:val="00E9319E"/>
    <w:rsid w:val="00E93AD2"/>
    <w:rsid w:val="00E97F03"/>
    <w:rsid w:val="00EA043E"/>
    <w:rsid w:val="00EA23CB"/>
    <w:rsid w:val="00EA247B"/>
    <w:rsid w:val="00EA2B66"/>
    <w:rsid w:val="00EA2F4F"/>
    <w:rsid w:val="00EA31DD"/>
    <w:rsid w:val="00EA4B10"/>
    <w:rsid w:val="00EA5199"/>
    <w:rsid w:val="00EA79BC"/>
    <w:rsid w:val="00EA7E3E"/>
    <w:rsid w:val="00EB332D"/>
    <w:rsid w:val="00EB3D11"/>
    <w:rsid w:val="00EB442B"/>
    <w:rsid w:val="00EB5355"/>
    <w:rsid w:val="00EB5C88"/>
    <w:rsid w:val="00EB6833"/>
    <w:rsid w:val="00EB7621"/>
    <w:rsid w:val="00EC00EE"/>
    <w:rsid w:val="00EC0A46"/>
    <w:rsid w:val="00EC0D1D"/>
    <w:rsid w:val="00EC128A"/>
    <w:rsid w:val="00EC4432"/>
    <w:rsid w:val="00EC48C9"/>
    <w:rsid w:val="00EC4D46"/>
    <w:rsid w:val="00EC5150"/>
    <w:rsid w:val="00EC5B78"/>
    <w:rsid w:val="00ED0B3B"/>
    <w:rsid w:val="00ED27EB"/>
    <w:rsid w:val="00ED55C4"/>
    <w:rsid w:val="00ED771C"/>
    <w:rsid w:val="00EE056A"/>
    <w:rsid w:val="00EE2A0A"/>
    <w:rsid w:val="00EE4919"/>
    <w:rsid w:val="00EE5C1B"/>
    <w:rsid w:val="00EE6122"/>
    <w:rsid w:val="00EF1B36"/>
    <w:rsid w:val="00EF2208"/>
    <w:rsid w:val="00EF583E"/>
    <w:rsid w:val="00EF5859"/>
    <w:rsid w:val="00EF59CF"/>
    <w:rsid w:val="00EF61B8"/>
    <w:rsid w:val="00EF6DB7"/>
    <w:rsid w:val="00F01465"/>
    <w:rsid w:val="00F016CD"/>
    <w:rsid w:val="00F02C19"/>
    <w:rsid w:val="00F032BB"/>
    <w:rsid w:val="00F057B5"/>
    <w:rsid w:val="00F058BC"/>
    <w:rsid w:val="00F10E40"/>
    <w:rsid w:val="00F1185F"/>
    <w:rsid w:val="00F12F49"/>
    <w:rsid w:val="00F133BD"/>
    <w:rsid w:val="00F13847"/>
    <w:rsid w:val="00F15971"/>
    <w:rsid w:val="00F20658"/>
    <w:rsid w:val="00F21733"/>
    <w:rsid w:val="00F221A7"/>
    <w:rsid w:val="00F225B6"/>
    <w:rsid w:val="00F22CB8"/>
    <w:rsid w:val="00F232B9"/>
    <w:rsid w:val="00F24A8B"/>
    <w:rsid w:val="00F268EE"/>
    <w:rsid w:val="00F2693B"/>
    <w:rsid w:val="00F311D1"/>
    <w:rsid w:val="00F314F1"/>
    <w:rsid w:val="00F31870"/>
    <w:rsid w:val="00F32782"/>
    <w:rsid w:val="00F338B2"/>
    <w:rsid w:val="00F33CC2"/>
    <w:rsid w:val="00F37F1D"/>
    <w:rsid w:val="00F409EC"/>
    <w:rsid w:val="00F435E4"/>
    <w:rsid w:val="00F4544C"/>
    <w:rsid w:val="00F4652B"/>
    <w:rsid w:val="00F50658"/>
    <w:rsid w:val="00F50810"/>
    <w:rsid w:val="00F508A5"/>
    <w:rsid w:val="00F5141D"/>
    <w:rsid w:val="00F529C8"/>
    <w:rsid w:val="00F53402"/>
    <w:rsid w:val="00F53644"/>
    <w:rsid w:val="00F53797"/>
    <w:rsid w:val="00F554C0"/>
    <w:rsid w:val="00F55CDF"/>
    <w:rsid w:val="00F56081"/>
    <w:rsid w:val="00F5663F"/>
    <w:rsid w:val="00F56A44"/>
    <w:rsid w:val="00F56CCE"/>
    <w:rsid w:val="00F616E0"/>
    <w:rsid w:val="00F64824"/>
    <w:rsid w:val="00F650D8"/>
    <w:rsid w:val="00F65B84"/>
    <w:rsid w:val="00F70203"/>
    <w:rsid w:val="00F72B18"/>
    <w:rsid w:val="00F72BEA"/>
    <w:rsid w:val="00F730D9"/>
    <w:rsid w:val="00F76F33"/>
    <w:rsid w:val="00F7774D"/>
    <w:rsid w:val="00F7774F"/>
    <w:rsid w:val="00F77804"/>
    <w:rsid w:val="00F80DAC"/>
    <w:rsid w:val="00F8287E"/>
    <w:rsid w:val="00F834CC"/>
    <w:rsid w:val="00F86C76"/>
    <w:rsid w:val="00F90750"/>
    <w:rsid w:val="00F909E7"/>
    <w:rsid w:val="00F90C45"/>
    <w:rsid w:val="00F9182A"/>
    <w:rsid w:val="00F9315D"/>
    <w:rsid w:val="00F94B43"/>
    <w:rsid w:val="00F95C61"/>
    <w:rsid w:val="00F960BE"/>
    <w:rsid w:val="00F96BA8"/>
    <w:rsid w:val="00F97300"/>
    <w:rsid w:val="00F97D8F"/>
    <w:rsid w:val="00FA25E0"/>
    <w:rsid w:val="00FA35D7"/>
    <w:rsid w:val="00FA5320"/>
    <w:rsid w:val="00FA579C"/>
    <w:rsid w:val="00FA593A"/>
    <w:rsid w:val="00FA5CA3"/>
    <w:rsid w:val="00FA60EE"/>
    <w:rsid w:val="00FA6FD3"/>
    <w:rsid w:val="00FA75F0"/>
    <w:rsid w:val="00FB1BFA"/>
    <w:rsid w:val="00FB2978"/>
    <w:rsid w:val="00FB2C7C"/>
    <w:rsid w:val="00FB43A1"/>
    <w:rsid w:val="00FB4755"/>
    <w:rsid w:val="00FB51DB"/>
    <w:rsid w:val="00FB6534"/>
    <w:rsid w:val="00FB6EBC"/>
    <w:rsid w:val="00FC5204"/>
    <w:rsid w:val="00FC5BD6"/>
    <w:rsid w:val="00FC5D83"/>
    <w:rsid w:val="00FC661E"/>
    <w:rsid w:val="00FC6790"/>
    <w:rsid w:val="00FC6C0F"/>
    <w:rsid w:val="00FD34F6"/>
    <w:rsid w:val="00FD4349"/>
    <w:rsid w:val="00FD4692"/>
    <w:rsid w:val="00FD6B3A"/>
    <w:rsid w:val="00FD72DC"/>
    <w:rsid w:val="00FE1D54"/>
    <w:rsid w:val="00FE2799"/>
    <w:rsid w:val="00FE2D0C"/>
    <w:rsid w:val="00FE2DD2"/>
    <w:rsid w:val="00FE31CC"/>
    <w:rsid w:val="00FE6C05"/>
    <w:rsid w:val="00FE715D"/>
    <w:rsid w:val="00FF19A6"/>
    <w:rsid w:val="00FF27A8"/>
    <w:rsid w:val="00FF308F"/>
    <w:rsid w:val="00FF4808"/>
    <w:rsid w:val="00FF4AE9"/>
    <w:rsid w:val="00FF4E7B"/>
    <w:rsid w:val="00FF6BD3"/>
    <w:rsid w:val="00FF6F0A"/>
    <w:rsid w:val="00FF71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0B0560"/>
  <w15:chartTrackingRefBased/>
  <w15:docId w15:val="{C5014664-E74B-452C-B4A3-3D232C9EA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9584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082B97"/>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SpacingChar">
    <w:name w:val="No Spacing Char"/>
    <w:aliases w:val="Raport roczny Char,Przypisy Char"/>
    <w:link w:val="NoSpacing"/>
    <w:locked/>
    <w:rsid w:val="001A7362"/>
    <w:rPr>
      <w:rFonts w:ascii="Verdana" w:hAnsi="Verdana" w:cs="Times New Roman"/>
      <w:color w:val="404044"/>
      <w:sz w:val="16"/>
      <w:szCs w:val="20"/>
    </w:rPr>
  </w:style>
  <w:style w:type="paragraph" w:styleId="NoSpacing">
    <w:name w:val="No Spacing"/>
    <w:aliases w:val="Raport roczny,Przypisy"/>
    <w:basedOn w:val="Normal"/>
    <w:link w:val="NoSpacingChar"/>
    <w:qFormat/>
    <w:rsid w:val="001A7362"/>
    <w:pPr>
      <w:spacing w:line="288" w:lineRule="auto"/>
      <w:jc w:val="both"/>
    </w:pPr>
    <w:rPr>
      <w:rFonts w:ascii="Verdana" w:hAnsi="Verdana" w:cs="Times New Roman"/>
      <w:color w:val="404044"/>
      <w:sz w:val="16"/>
      <w:szCs w:val="20"/>
    </w:rPr>
  </w:style>
  <w:style w:type="paragraph" w:customStyle="1" w:styleId="Default">
    <w:name w:val="Default"/>
    <w:rsid w:val="00EE4919"/>
    <w:pPr>
      <w:autoSpaceDE w:val="0"/>
      <w:autoSpaceDN w:val="0"/>
      <w:adjustRightInd w:val="0"/>
      <w:spacing w:after="0" w:line="240" w:lineRule="auto"/>
    </w:pPr>
    <w:rPr>
      <w:rFonts w:ascii="Verdana" w:hAnsi="Verdana" w:cs="Verdana"/>
      <w:color w:val="000000"/>
      <w:sz w:val="24"/>
      <w:szCs w:val="24"/>
    </w:rPr>
  </w:style>
  <w:style w:type="paragraph" w:styleId="BalloonText">
    <w:name w:val="Balloon Text"/>
    <w:basedOn w:val="Normal"/>
    <w:link w:val="BalloonTextChar"/>
    <w:uiPriority w:val="99"/>
    <w:semiHidden/>
    <w:unhideWhenUsed/>
    <w:rsid w:val="000544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445B"/>
    <w:rPr>
      <w:rFonts w:ascii="Segoe UI" w:hAnsi="Segoe UI" w:cs="Segoe UI"/>
      <w:sz w:val="18"/>
      <w:szCs w:val="18"/>
    </w:rPr>
  </w:style>
  <w:style w:type="character" w:styleId="CommentReference">
    <w:name w:val="annotation reference"/>
    <w:basedOn w:val="DefaultParagraphFont"/>
    <w:uiPriority w:val="99"/>
    <w:semiHidden/>
    <w:unhideWhenUsed/>
    <w:rsid w:val="00F268EE"/>
    <w:rPr>
      <w:sz w:val="16"/>
      <w:szCs w:val="16"/>
    </w:rPr>
  </w:style>
  <w:style w:type="paragraph" w:styleId="CommentText">
    <w:name w:val="annotation text"/>
    <w:basedOn w:val="Normal"/>
    <w:link w:val="CommentTextChar"/>
    <w:uiPriority w:val="99"/>
    <w:unhideWhenUsed/>
    <w:rsid w:val="00F268EE"/>
    <w:pPr>
      <w:spacing w:line="240" w:lineRule="auto"/>
    </w:pPr>
    <w:rPr>
      <w:sz w:val="20"/>
      <w:szCs w:val="20"/>
    </w:rPr>
  </w:style>
  <w:style w:type="character" w:customStyle="1" w:styleId="CommentTextChar">
    <w:name w:val="Comment Text Char"/>
    <w:basedOn w:val="DefaultParagraphFont"/>
    <w:link w:val="CommentText"/>
    <w:uiPriority w:val="99"/>
    <w:rsid w:val="00F268EE"/>
    <w:rPr>
      <w:sz w:val="20"/>
      <w:szCs w:val="20"/>
    </w:rPr>
  </w:style>
  <w:style w:type="paragraph" w:styleId="CommentSubject">
    <w:name w:val="annotation subject"/>
    <w:basedOn w:val="CommentText"/>
    <w:next w:val="CommentText"/>
    <w:link w:val="CommentSubjectChar"/>
    <w:uiPriority w:val="99"/>
    <w:semiHidden/>
    <w:unhideWhenUsed/>
    <w:rsid w:val="00F268EE"/>
    <w:rPr>
      <w:b/>
      <w:bCs/>
    </w:rPr>
  </w:style>
  <w:style w:type="character" w:customStyle="1" w:styleId="CommentSubjectChar">
    <w:name w:val="Comment Subject Char"/>
    <w:basedOn w:val="CommentTextChar"/>
    <w:link w:val="CommentSubject"/>
    <w:uiPriority w:val="99"/>
    <w:semiHidden/>
    <w:rsid w:val="00F268EE"/>
    <w:rPr>
      <w:b/>
      <w:bCs/>
      <w:sz w:val="20"/>
      <w:szCs w:val="20"/>
    </w:rPr>
  </w:style>
  <w:style w:type="paragraph" w:styleId="NormalWeb">
    <w:name w:val="Normal (Web)"/>
    <w:basedOn w:val="Normal"/>
    <w:uiPriority w:val="99"/>
    <w:unhideWhenUsed/>
    <w:rsid w:val="001C4174"/>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Emphasis">
    <w:name w:val="Emphasis"/>
    <w:basedOn w:val="DefaultParagraphFont"/>
    <w:uiPriority w:val="20"/>
    <w:qFormat/>
    <w:rsid w:val="00082B97"/>
    <w:rPr>
      <w:i/>
      <w:iCs/>
    </w:rPr>
  </w:style>
  <w:style w:type="character" w:customStyle="1" w:styleId="Heading2Char">
    <w:name w:val="Heading 2 Char"/>
    <w:basedOn w:val="DefaultParagraphFont"/>
    <w:link w:val="Heading2"/>
    <w:uiPriority w:val="9"/>
    <w:rsid w:val="00082B97"/>
    <w:rPr>
      <w:rFonts w:ascii="Times New Roman" w:eastAsia="Times New Roman" w:hAnsi="Times New Roman" w:cs="Times New Roman"/>
      <w:b/>
      <w:bCs/>
      <w:sz w:val="36"/>
      <w:szCs w:val="36"/>
      <w:lang w:eastAsia="pl-PL"/>
    </w:rPr>
  </w:style>
  <w:style w:type="character" w:styleId="Strong">
    <w:name w:val="Strong"/>
    <w:basedOn w:val="DefaultParagraphFont"/>
    <w:uiPriority w:val="22"/>
    <w:qFormat/>
    <w:rsid w:val="00884597"/>
    <w:rPr>
      <w:b/>
      <w:bCs/>
    </w:rPr>
  </w:style>
  <w:style w:type="paragraph" w:styleId="EndnoteText">
    <w:name w:val="endnote text"/>
    <w:basedOn w:val="Normal"/>
    <w:link w:val="EndnoteTextChar"/>
    <w:uiPriority w:val="99"/>
    <w:semiHidden/>
    <w:unhideWhenUsed/>
    <w:rsid w:val="00B84A5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84A59"/>
    <w:rPr>
      <w:sz w:val="20"/>
      <w:szCs w:val="20"/>
    </w:rPr>
  </w:style>
  <w:style w:type="character" w:styleId="EndnoteReference">
    <w:name w:val="endnote reference"/>
    <w:basedOn w:val="DefaultParagraphFont"/>
    <w:uiPriority w:val="99"/>
    <w:semiHidden/>
    <w:unhideWhenUsed/>
    <w:rsid w:val="00B84A59"/>
    <w:rPr>
      <w:vertAlign w:val="superscript"/>
    </w:rPr>
  </w:style>
  <w:style w:type="paragraph" w:styleId="Revision">
    <w:name w:val="Revision"/>
    <w:hidden/>
    <w:uiPriority w:val="99"/>
    <w:semiHidden/>
    <w:rsid w:val="00EF583E"/>
    <w:pPr>
      <w:spacing w:after="0" w:line="240" w:lineRule="auto"/>
    </w:pPr>
  </w:style>
  <w:style w:type="paragraph" w:styleId="Header">
    <w:name w:val="header"/>
    <w:basedOn w:val="Normal"/>
    <w:link w:val="HeaderChar"/>
    <w:uiPriority w:val="99"/>
    <w:unhideWhenUsed/>
    <w:rsid w:val="004A21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A21D6"/>
  </w:style>
  <w:style w:type="paragraph" w:styleId="Footer">
    <w:name w:val="footer"/>
    <w:basedOn w:val="Normal"/>
    <w:link w:val="FooterChar"/>
    <w:unhideWhenUsed/>
    <w:rsid w:val="004A21D6"/>
    <w:pPr>
      <w:tabs>
        <w:tab w:val="center" w:pos="4536"/>
        <w:tab w:val="right" w:pos="9072"/>
      </w:tabs>
      <w:spacing w:after="0" w:line="240" w:lineRule="auto"/>
    </w:pPr>
  </w:style>
  <w:style w:type="character" w:customStyle="1" w:styleId="FooterChar">
    <w:name w:val="Footer Char"/>
    <w:basedOn w:val="DefaultParagraphFont"/>
    <w:link w:val="Footer"/>
    <w:rsid w:val="004A21D6"/>
  </w:style>
  <w:style w:type="character" w:styleId="Hyperlink">
    <w:name w:val="Hyperlink"/>
    <w:basedOn w:val="DefaultParagraphFont"/>
    <w:uiPriority w:val="99"/>
    <w:rsid w:val="004A21D6"/>
    <w:rPr>
      <w:color w:val="0000FF"/>
      <w:u w:val="single"/>
    </w:rPr>
  </w:style>
  <w:style w:type="paragraph" w:styleId="ListParagraph">
    <w:name w:val="List Paragraph"/>
    <w:aliases w:val="L1,Numerowanie,Akapit z listą5,T_SZ_List Paragraph,normalny tekst,Kolorowa lista — akcent 11,Akapit z listą BS,Kolorowa lista — akcent 12,lp1,List Paragraph2,EPL lista punktowana z wyrózneniem,A_wyliczenie,K-P_odwolanie"/>
    <w:basedOn w:val="Normal"/>
    <w:link w:val="ListParagraphChar"/>
    <w:uiPriority w:val="34"/>
    <w:qFormat/>
    <w:rsid w:val="004A21D6"/>
    <w:pPr>
      <w:spacing w:after="0" w:line="240" w:lineRule="auto"/>
      <w:ind w:left="720"/>
      <w:contextualSpacing/>
    </w:pPr>
    <w:rPr>
      <w:rFonts w:ascii="Arial" w:eastAsia="Times New Roman" w:hAnsi="Arial" w:cs="Times New Roman"/>
      <w:sz w:val="24"/>
      <w:szCs w:val="24"/>
      <w:lang w:eastAsia="pl-PL"/>
    </w:rPr>
  </w:style>
  <w:style w:type="character" w:customStyle="1" w:styleId="ListParagraphChar">
    <w:name w:val="List Paragraph Char"/>
    <w:aliases w:val="L1 Char,Numerowanie Char,Akapit z listą5 Char,T_SZ_List Paragraph Char,normalny tekst Char,Kolorowa lista — akcent 11 Char,Akapit z listą BS Char,Kolorowa lista — akcent 12 Char,lp1 Char,List Paragraph2 Char,A_wyliczenie Char"/>
    <w:basedOn w:val="DefaultParagraphFont"/>
    <w:link w:val="ListParagraph"/>
    <w:uiPriority w:val="34"/>
    <w:qFormat/>
    <w:rsid w:val="00495849"/>
    <w:rPr>
      <w:rFonts w:ascii="Arial" w:eastAsia="Times New Roman" w:hAnsi="Arial" w:cs="Times New Roman"/>
      <w:sz w:val="24"/>
      <w:szCs w:val="24"/>
      <w:lang w:eastAsia="pl-PL"/>
    </w:rPr>
  </w:style>
  <w:style w:type="character" w:customStyle="1" w:styleId="Heading1Char">
    <w:name w:val="Heading 1 Char"/>
    <w:basedOn w:val="DefaultParagraphFont"/>
    <w:link w:val="Heading1"/>
    <w:uiPriority w:val="9"/>
    <w:rsid w:val="00495849"/>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495849"/>
    <w:pPr>
      <w:outlineLvl w:val="9"/>
    </w:pPr>
    <w:rPr>
      <w:lang w:eastAsia="pl-PL"/>
    </w:rPr>
  </w:style>
  <w:style w:type="character" w:styleId="UnresolvedMention">
    <w:name w:val="Unresolved Mention"/>
    <w:basedOn w:val="DefaultParagraphFont"/>
    <w:uiPriority w:val="99"/>
    <w:semiHidden/>
    <w:unhideWhenUsed/>
    <w:rsid w:val="00AA0B89"/>
    <w:rPr>
      <w:color w:val="605E5C"/>
      <w:shd w:val="clear" w:color="auto" w:fill="E1DFDD"/>
    </w:rPr>
  </w:style>
  <w:style w:type="paragraph" w:styleId="FootnoteText">
    <w:name w:val="footnote text"/>
    <w:basedOn w:val="Normal"/>
    <w:link w:val="FootnoteTextChar"/>
    <w:uiPriority w:val="99"/>
    <w:semiHidden/>
    <w:unhideWhenUsed/>
    <w:rsid w:val="00D76A4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76A4F"/>
    <w:rPr>
      <w:sz w:val="20"/>
      <w:szCs w:val="20"/>
    </w:rPr>
  </w:style>
  <w:style w:type="character" w:styleId="FootnoteReference">
    <w:name w:val="footnote reference"/>
    <w:basedOn w:val="DefaultParagraphFont"/>
    <w:uiPriority w:val="99"/>
    <w:semiHidden/>
    <w:unhideWhenUsed/>
    <w:rsid w:val="00D76A4F"/>
    <w:rPr>
      <w:vertAlign w:val="superscript"/>
    </w:rPr>
  </w:style>
  <w:style w:type="table" w:styleId="TableGrid">
    <w:name w:val="Table Grid"/>
    <w:basedOn w:val="TableNormal"/>
    <w:uiPriority w:val="39"/>
    <w:rsid w:val="00AF7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
    <w:name w:val="tekst podstawowy"/>
    <w:basedOn w:val="Normal"/>
    <w:link w:val="tekstpodstawowyZnak"/>
    <w:qFormat/>
    <w:rsid w:val="00F56081"/>
    <w:pPr>
      <w:spacing w:before="120" w:after="120" w:line="240" w:lineRule="auto"/>
      <w:jc w:val="both"/>
    </w:pPr>
    <w:rPr>
      <w:rFonts w:eastAsiaTheme="minorEastAsia" w:cstheme="minorHAnsi"/>
      <w:sz w:val="20"/>
      <w:szCs w:val="20"/>
    </w:rPr>
  </w:style>
  <w:style w:type="character" w:customStyle="1" w:styleId="tekstpodstawowyZnak">
    <w:name w:val="tekst podstawowy Znak"/>
    <w:basedOn w:val="DefaultParagraphFont"/>
    <w:link w:val="tekstpodstawowy"/>
    <w:rsid w:val="00F56081"/>
    <w:rPr>
      <w:rFonts w:eastAsiaTheme="minorEastAsia"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0750">
      <w:bodyDiv w:val="1"/>
      <w:marLeft w:val="0"/>
      <w:marRight w:val="0"/>
      <w:marTop w:val="0"/>
      <w:marBottom w:val="0"/>
      <w:divBdr>
        <w:top w:val="none" w:sz="0" w:space="0" w:color="auto"/>
        <w:left w:val="none" w:sz="0" w:space="0" w:color="auto"/>
        <w:bottom w:val="none" w:sz="0" w:space="0" w:color="auto"/>
        <w:right w:val="none" w:sz="0" w:space="0" w:color="auto"/>
      </w:divBdr>
    </w:div>
    <w:div w:id="75130827">
      <w:bodyDiv w:val="1"/>
      <w:marLeft w:val="0"/>
      <w:marRight w:val="0"/>
      <w:marTop w:val="0"/>
      <w:marBottom w:val="0"/>
      <w:divBdr>
        <w:top w:val="none" w:sz="0" w:space="0" w:color="auto"/>
        <w:left w:val="none" w:sz="0" w:space="0" w:color="auto"/>
        <w:bottom w:val="none" w:sz="0" w:space="0" w:color="auto"/>
        <w:right w:val="none" w:sz="0" w:space="0" w:color="auto"/>
      </w:divBdr>
    </w:div>
    <w:div w:id="80879339">
      <w:bodyDiv w:val="1"/>
      <w:marLeft w:val="0"/>
      <w:marRight w:val="0"/>
      <w:marTop w:val="0"/>
      <w:marBottom w:val="0"/>
      <w:divBdr>
        <w:top w:val="none" w:sz="0" w:space="0" w:color="auto"/>
        <w:left w:val="none" w:sz="0" w:space="0" w:color="auto"/>
        <w:bottom w:val="none" w:sz="0" w:space="0" w:color="auto"/>
        <w:right w:val="none" w:sz="0" w:space="0" w:color="auto"/>
      </w:divBdr>
    </w:div>
    <w:div w:id="130365454">
      <w:bodyDiv w:val="1"/>
      <w:marLeft w:val="0"/>
      <w:marRight w:val="0"/>
      <w:marTop w:val="0"/>
      <w:marBottom w:val="0"/>
      <w:divBdr>
        <w:top w:val="none" w:sz="0" w:space="0" w:color="auto"/>
        <w:left w:val="none" w:sz="0" w:space="0" w:color="auto"/>
        <w:bottom w:val="none" w:sz="0" w:space="0" w:color="auto"/>
        <w:right w:val="none" w:sz="0" w:space="0" w:color="auto"/>
      </w:divBdr>
    </w:div>
    <w:div w:id="153107346">
      <w:bodyDiv w:val="1"/>
      <w:marLeft w:val="0"/>
      <w:marRight w:val="0"/>
      <w:marTop w:val="0"/>
      <w:marBottom w:val="0"/>
      <w:divBdr>
        <w:top w:val="none" w:sz="0" w:space="0" w:color="auto"/>
        <w:left w:val="none" w:sz="0" w:space="0" w:color="auto"/>
        <w:bottom w:val="none" w:sz="0" w:space="0" w:color="auto"/>
        <w:right w:val="none" w:sz="0" w:space="0" w:color="auto"/>
      </w:divBdr>
    </w:div>
    <w:div w:id="175460067">
      <w:bodyDiv w:val="1"/>
      <w:marLeft w:val="0"/>
      <w:marRight w:val="0"/>
      <w:marTop w:val="0"/>
      <w:marBottom w:val="0"/>
      <w:divBdr>
        <w:top w:val="none" w:sz="0" w:space="0" w:color="auto"/>
        <w:left w:val="none" w:sz="0" w:space="0" w:color="auto"/>
        <w:bottom w:val="none" w:sz="0" w:space="0" w:color="auto"/>
        <w:right w:val="none" w:sz="0" w:space="0" w:color="auto"/>
      </w:divBdr>
    </w:div>
    <w:div w:id="176502022">
      <w:bodyDiv w:val="1"/>
      <w:marLeft w:val="0"/>
      <w:marRight w:val="0"/>
      <w:marTop w:val="0"/>
      <w:marBottom w:val="0"/>
      <w:divBdr>
        <w:top w:val="none" w:sz="0" w:space="0" w:color="auto"/>
        <w:left w:val="none" w:sz="0" w:space="0" w:color="auto"/>
        <w:bottom w:val="none" w:sz="0" w:space="0" w:color="auto"/>
        <w:right w:val="none" w:sz="0" w:space="0" w:color="auto"/>
      </w:divBdr>
      <w:divsChild>
        <w:div w:id="1065109219">
          <w:marLeft w:val="0"/>
          <w:marRight w:val="0"/>
          <w:marTop w:val="0"/>
          <w:marBottom w:val="0"/>
          <w:divBdr>
            <w:top w:val="single" w:sz="2" w:space="0" w:color="E3E3E3"/>
            <w:left w:val="single" w:sz="2" w:space="0" w:color="E3E3E3"/>
            <w:bottom w:val="single" w:sz="2" w:space="0" w:color="E3E3E3"/>
            <w:right w:val="single" w:sz="2" w:space="0" w:color="E3E3E3"/>
          </w:divBdr>
          <w:divsChild>
            <w:div w:id="1616669308">
              <w:marLeft w:val="0"/>
              <w:marRight w:val="0"/>
              <w:marTop w:val="0"/>
              <w:marBottom w:val="0"/>
              <w:divBdr>
                <w:top w:val="single" w:sz="2" w:space="0" w:color="E3E3E3"/>
                <w:left w:val="single" w:sz="2" w:space="0" w:color="E3E3E3"/>
                <w:bottom w:val="single" w:sz="2" w:space="0" w:color="E3E3E3"/>
                <w:right w:val="single" w:sz="2" w:space="0" w:color="E3E3E3"/>
              </w:divBdr>
              <w:divsChild>
                <w:div w:id="378937816">
                  <w:marLeft w:val="0"/>
                  <w:marRight w:val="0"/>
                  <w:marTop w:val="0"/>
                  <w:marBottom w:val="0"/>
                  <w:divBdr>
                    <w:top w:val="single" w:sz="2" w:space="2" w:color="E3E3E3"/>
                    <w:left w:val="single" w:sz="2" w:space="0" w:color="E3E3E3"/>
                    <w:bottom w:val="single" w:sz="2" w:space="0" w:color="E3E3E3"/>
                    <w:right w:val="single" w:sz="2" w:space="0" w:color="E3E3E3"/>
                  </w:divBdr>
                  <w:divsChild>
                    <w:div w:id="78080382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77542749">
      <w:bodyDiv w:val="1"/>
      <w:marLeft w:val="0"/>
      <w:marRight w:val="0"/>
      <w:marTop w:val="0"/>
      <w:marBottom w:val="0"/>
      <w:divBdr>
        <w:top w:val="none" w:sz="0" w:space="0" w:color="auto"/>
        <w:left w:val="none" w:sz="0" w:space="0" w:color="auto"/>
        <w:bottom w:val="none" w:sz="0" w:space="0" w:color="auto"/>
        <w:right w:val="none" w:sz="0" w:space="0" w:color="auto"/>
      </w:divBdr>
      <w:divsChild>
        <w:div w:id="1261455075">
          <w:marLeft w:val="0"/>
          <w:marRight w:val="0"/>
          <w:marTop w:val="0"/>
          <w:marBottom w:val="0"/>
          <w:divBdr>
            <w:top w:val="single" w:sz="2" w:space="0" w:color="E3E3E3"/>
            <w:left w:val="single" w:sz="2" w:space="0" w:color="E3E3E3"/>
            <w:bottom w:val="single" w:sz="2" w:space="0" w:color="E3E3E3"/>
            <w:right w:val="single" w:sz="2" w:space="0" w:color="E3E3E3"/>
          </w:divBdr>
          <w:divsChild>
            <w:div w:id="2059821488">
              <w:marLeft w:val="0"/>
              <w:marRight w:val="0"/>
              <w:marTop w:val="0"/>
              <w:marBottom w:val="0"/>
              <w:divBdr>
                <w:top w:val="single" w:sz="2" w:space="0" w:color="E3E3E3"/>
                <w:left w:val="single" w:sz="2" w:space="0" w:color="E3E3E3"/>
                <w:bottom w:val="single" w:sz="2" w:space="0" w:color="E3E3E3"/>
                <w:right w:val="single" w:sz="2" w:space="0" w:color="E3E3E3"/>
              </w:divBdr>
              <w:divsChild>
                <w:div w:id="153572945">
                  <w:marLeft w:val="0"/>
                  <w:marRight w:val="0"/>
                  <w:marTop w:val="0"/>
                  <w:marBottom w:val="0"/>
                  <w:divBdr>
                    <w:top w:val="single" w:sz="2" w:space="2" w:color="E3E3E3"/>
                    <w:left w:val="single" w:sz="2" w:space="0" w:color="E3E3E3"/>
                    <w:bottom w:val="single" w:sz="2" w:space="0" w:color="E3E3E3"/>
                    <w:right w:val="single" w:sz="2" w:space="0" w:color="E3E3E3"/>
                  </w:divBdr>
                  <w:divsChild>
                    <w:div w:id="1822127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85291387">
      <w:bodyDiv w:val="1"/>
      <w:marLeft w:val="0"/>
      <w:marRight w:val="0"/>
      <w:marTop w:val="0"/>
      <w:marBottom w:val="0"/>
      <w:divBdr>
        <w:top w:val="none" w:sz="0" w:space="0" w:color="auto"/>
        <w:left w:val="none" w:sz="0" w:space="0" w:color="auto"/>
        <w:bottom w:val="none" w:sz="0" w:space="0" w:color="auto"/>
        <w:right w:val="none" w:sz="0" w:space="0" w:color="auto"/>
      </w:divBdr>
    </w:div>
    <w:div w:id="196430917">
      <w:bodyDiv w:val="1"/>
      <w:marLeft w:val="0"/>
      <w:marRight w:val="0"/>
      <w:marTop w:val="0"/>
      <w:marBottom w:val="0"/>
      <w:divBdr>
        <w:top w:val="none" w:sz="0" w:space="0" w:color="auto"/>
        <w:left w:val="none" w:sz="0" w:space="0" w:color="auto"/>
        <w:bottom w:val="none" w:sz="0" w:space="0" w:color="auto"/>
        <w:right w:val="none" w:sz="0" w:space="0" w:color="auto"/>
      </w:divBdr>
    </w:div>
    <w:div w:id="200362593">
      <w:bodyDiv w:val="1"/>
      <w:marLeft w:val="0"/>
      <w:marRight w:val="0"/>
      <w:marTop w:val="0"/>
      <w:marBottom w:val="0"/>
      <w:divBdr>
        <w:top w:val="none" w:sz="0" w:space="0" w:color="auto"/>
        <w:left w:val="none" w:sz="0" w:space="0" w:color="auto"/>
        <w:bottom w:val="none" w:sz="0" w:space="0" w:color="auto"/>
        <w:right w:val="none" w:sz="0" w:space="0" w:color="auto"/>
      </w:divBdr>
    </w:div>
    <w:div w:id="270358814">
      <w:bodyDiv w:val="1"/>
      <w:marLeft w:val="0"/>
      <w:marRight w:val="0"/>
      <w:marTop w:val="0"/>
      <w:marBottom w:val="0"/>
      <w:divBdr>
        <w:top w:val="none" w:sz="0" w:space="0" w:color="auto"/>
        <w:left w:val="none" w:sz="0" w:space="0" w:color="auto"/>
        <w:bottom w:val="none" w:sz="0" w:space="0" w:color="auto"/>
        <w:right w:val="none" w:sz="0" w:space="0" w:color="auto"/>
      </w:divBdr>
      <w:divsChild>
        <w:div w:id="1193760244">
          <w:marLeft w:val="446"/>
          <w:marRight w:val="0"/>
          <w:marTop w:val="60"/>
          <w:marBottom w:val="60"/>
          <w:divBdr>
            <w:top w:val="none" w:sz="0" w:space="0" w:color="auto"/>
            <w:left w:val="none" w:sz="0" w:space="0" w:color="auto"/>
            <w:bottom w:val="none" w:sz="0" w:space="0" w:color="auto"/>
            <w:right w:val="none" w:sz="0" w:space="0" w:color="auto"/>
          </w:divBdr>
        </w:div>
      </w:divsChild>
    </w:div>
    <w:div w:id="322049266">
      <w:bodyDiv w:val="1"/>
      <w:marLeft w:val="0"/>
      <w:marRight w:val="0"/>
      <w:marTop w:val="0"/>
      <w:marBottom w:val="0"/>
      <w:divBdr>
        <w:top w:val="none" w:sz="0" w:space="0" w:color="auto"/>
        <w:left w:val="none" w:sz="0" w:space="0" w:color="auto"/>
        <w:bottom w:val="none" w:sz="0" w:space="0" w:color="auto"/>
        <w:right w:val="none" w:sz="0" w:space="0" w:color="auto"/>
      </w:divBdr>
      <w:divsChild>
        <w:div w:id="319117435">
          <w:marLeft w:val="374"/>
          <w:marRight w:val="0"/>
          <w:marTop w:val="141"/>
          <w:marBottom w:val="0"/>
          <w:divBdr>
            <w:top w:val="none" w:sz="0" w:space="0" w:color="auto"/>
            <w:left w:val="none" w:sz="0" w:space="0" w:color="auto"/>
            <w:bottom w:val="none" w:sz="0" w:space="0" w:color="auto"/>
            <w:right w:val="none" w:sz="0" w:space="0" w:color="auto"/>
          </w:divBdr>
        </w:div>
      </w:divsChild>
    </w:div>
    <w:div w:id="325086063">
      <w:bodyDiv w:val="1"/>
      <w:marLeft w:val="0"/>
      <w:marRight w:val="0"/>
      <w:marTop w:val="0"/>
      <w:marBottom w:val="0"/>
      <w:divBdr>
        <w:top w:val="none" w:sz="0" w:space="0" w:color="auto"/>
        <w:left w:val="none" w:sz="0" w:space="0" w:color="auto"/>
        <w:bottom w:val="none" w:sz="0" w:space="0" w:color="auto"/>
        <w:right w:val="none" w:sz="0" w:space="0" w:color="auto"/>
      </w:divBdr>
    </w:div>
    <w:div w:id="341857537">
      <w:bodyDiv w:val="1"/>
      <w:marLeft w:val="0"/>
      <w:marRight w:val="0"/>
      <w:marTop w:val="0"/>
      <w:marBottom w:val="0"/>
      <w:divBdr>
        <w:top w:val="none" w:sz="0" w:space="0" w:color="auto"/>
        <w:left w:val="none" w:sz="0" w:space="0" w:color="auto"/>
        <w:bottom w:val="none" w:sz="0" w:space="0" w:color="auto"/>
        <w:right w:val="none" w:sz="0" w:space="0" w:color="auto"/>
      </w:divBdr>
    </w:div>
    <w:div w:id="371267580">
      <w:bodyDiv w:val="1"/>
      <w:marLeft w:val="0"/>
      <w:marRight w:val="0"/>
      <w:marTop w:val="0"/>
      <w:marBottom w:val="0"/>
      <w:divBdr>
        <w:top w:val="none" w:sz="0" w:space="0" w:color="auto"/>
        <w:left w:val="none" w:sz="0" w:space="0" w:color="auto"/>
        <w:bottom w:val="none" w:sz="0" w:space="0" w:color="auto"/>
        <w:right w:val="none" w:sz="0" w:space="0" w:color="auto"/>
      </w:divBdr>
    </w:div>
    <w:div w:id="414210373">
      <w:bodyDiv w:val="1"/>
      <w:marLeft w:val="0"/>
      <w:marRight w:val="0"/>
      <w:marTop w:val="0"/>
      <w:marBottom w:val="0"/>
      <w:divBdr>
        <w:top w:val="none" w:sz="0" w:space="0" w:color="auto"/>
        <w:left w:val="none" w:sz="0" w:space="0" w:color="auto"/>
        <w:bottom w:val="none" w:sz="0" w:space="0" w:color="auto"/>
        <w:right w:val="none" w:sz="0" w:space="0" w:color="auto"/>
      </w:divBdr>
    </w:div>
    <w:div w:id="462695683">
      <w:bodyDiv w:val="1"/>
      <w:marLeft w:val="0"/>
      <w:marRight w:val="0"/>
      <w:marTop w:val="0"/>
      <w:marBottom w:val="0"/>
      <w:divBdr>
        <w:top w:val="none" w:sz="0" w:space="0" w:color="auto"/>
        <w:left w:val="none" w:sz="0" w:space="0" w:color="auto"/>
        <w:bottom w:val="none" w:sz="0" w:space="0" w:color="auto"/>
        <w:right w:val="none" w:sz="0" w:space="0" w:color="auto"/>
      </w:divBdr>
    </w:div>
    <w:div w:id="463886602">
      <w:bodyDiv w:val="1"/>
      <w:marLeft w:val="0"/>
      <w:marRight w:val="0"/>
      <w:marTop w:val="0"/>
      <w:marBottom w:val="0"/>
      <w:divBdr>
        <w:top w:val="none" w:sz="0" w:space="0" w:color="auto"/>
        <w:left w:val="none" w:sz="0" w:space="0" w:color="auto"/>
        <w:bottom w:val="none" w:sz="0" w:space="0" w:color="auto"/>
        <w:right w:val="none" w:sz="0" w:space="0" w:color="auto"/>
      </w:divBdr>
    </w:div>
    <w:div w:id="487016402">
      <w:bodyDiv w:val="1"/>
      <w:marLeft w:val="0"/>
      <w:marRight w:val="0"/>
      <w:marTop w:val="0"/>
      <w:marBottom w:val="0"/>
      <w:divBdr>
        <w:top w:val="none" w:sz="0" w:space="0" w:color="auto"/>
        <w:left w:val="none" w:sz="0" w:space="0" w:color="auto"/>
        <w:bottom w:val="none" w:sz="0" w:space="0" w:color="auto"/>
        <w:right w:val="none" w:sz="0" w:space="0" w:color="auto"/>
      </w:divBdr>
      <w:divsChild>
        <w:div w:id="2084176433">
          <w:marLeft w:val="547"/>
          <w:marRight w:val="0"/>
          <w:marTop w:val="0"/>
          <w:marBottom w:val="0"/>
          <w:divBdr>
            <w:top w:val="none" w:sz="0" w:space="0" w:color="auto"/>
            <w:left w:val="none" w:sz="0" w:space="0" w:color="auto"/>
            <w:bottom w:val="none" w:sz="0" w:space="0" w:color="auto"/>
            <w:right w:val="none" w:sz="0" w:space="0" w:color="auto"/>
          </w:divBdr>
        </w:div>
      </w:divsChild>
    </w:div>
    <w:div w:id="553740839">
      <w:bodyDiv w:val="1"/>
      <w:marLeft w:val="0"/>
      <w:marRight w:val="0"/>
      <w:marTop w:val="0"/>
      <w:marBottom w:val="0"/>
      <w:divBdr>
        <w:top w:val="none" w:sz="0" w:space="0" w:color="auto"/>
        <w:left w:val="none" w:sz="0" w:space="0" w:color="auto"/>
        <w:bottom w:val="none" w:sz="0" w:space="0" w:color="auto"/>
        <w:right w:val="none" w:sz="0" w:space="0" w:color="auto"/>
      </w:divBdr>
    </w:div>
    <w:div w:id="575556065">
      <w:bodyDiv w:val="1"/>
      <w:marLeft w:val="0"/>
      <w:marRight w:val="0"/>
      <w:marTop w:val="0"/>
      <w:marBottom w:val="0"/>
      <w:divBdr>
        <w:top w:val="none" w:sz="0" w:space="0" w:color="auto"/>
        <w:left w:val="none" w:sz="0" w:space="0" w:color="auto"/>
        <w:bottom w:val="none" w:sz="0" w:space="0" w:color="auto"/>
        <w:right w:val="none" w:sz="0" w:space="0" w:color="auto"/>
      </w:divBdr>
    </w:div>
    <w:div w:id="680854552">
      <w:bodyDiv w:val="1"/>
      <w:marLeft w:val="0"/>
      <w:marRight w:val="0"/>
      <w:marTop w:val="0"/>
      <w:marBottom w:val="0"/>
      <w:divBdr>
        <w:top w:val="none" w:sz="0" w:space="0" w:color="auto"/>
        <w:left w:val="none" w:sz="0" w:space="0" w:color="auto"/>
        <w:bottom w:val="none" w:sz="0" w:space="0" w:color="auto"/>
        <w:right w:val="none" w:sz="0" w:space="0" w:color="auto"/>
      </w:divBdr>
    </w:div>
    <w:div w:id="774863093">
      <w:bodyDiv w:val="1"/>
      <w:marLeft w:val="0"/>
      <w:marRight w:val="0"/>
      <w:marTop w:val="0"/>
      <w:marBottom w:val="0"/>
      <w:divBdr>
        <w:top w:val="none" w:sz="0" w:space="0" w:color="auto"/>
        <w:left w:val="none" w:sz="0" w:space="0" w:color="auto"/>
        <w:bottom w:val="none" w:sz="0" w:space="0" w:color="auto"/>
        <w:right w:val="none" w:sz="0" w:space="0" w:color="auto"/>
      </w:divBdr>
      <w:divsChild>
        <w:div w:id="1565986149">
          <w:marLeft w:val="418"/>
          <w:marRight w:val="0"/>
          <w:marTop w:val="0"/>
          <w:marBottom w:val="0"/>
          <w:divBdr>
            <w:top w:val="none" w:sz="0" w:space="0" w:color="auto"/>
            <w:left w:val="none" w:sz="0" w:space="0" w:color="auto"/>
            <w:bottom w:val="none" w:sz="0" w:space="0" w:color="auto"/>
            <w:right w:val="none" w:sz="0" w:space="0" w:color="auto"/>
          </w:divBdr>
        </w:div>
        <w:div w:id="1825704163">
          <w:marLeft w:val="418"/>
          <w:marRight w:val="0"/>
          <w:marTop w:val="0"/>
          <w:marBottom w:val="0"/>
          <w:divBdr>
            <w:top w:val="none" w:sz="0" w:space="0" w:color="auto"/>
            <w:left w:val="none" w:sz="0" w:space="0" w:color="auto"/>
            <w:bottom w:val="none" w:sz="0" w:space="0" w:color="auto"/>
            <w:right w:val="none" w:sz="0" w:space="0" w:color="auto"/>
          </w:divBdr>
        </w:div>
        <w:div w:id="2034111440">
          <w:marLeft w:val="418"/>
          <w:marRight w:val="0"/>
          <w:marTop w:val="0"/>
          <w:marBottom w:val="0"/>
          <w:divBdr>
            <w:top w:val="none" w:sz="0" w:space="0" w:color="auto"/>
            <w:left w:val="none" w:sz="0" w:space="0" w:color="auto"/>
            <w:bottom w:val="none" w:sz="0" w:space="0" w:color="auto"/>
            <w:right w:val="none" w:sz="0" w:space="0" w:color="auto"/>
          </w:divBdr>
        </w:div>
        <w:div w:id="278414826">
          <w:marLeft w:val="418"/>
          <w:marRight w:val="0"/>
          <w:marTop w:val="0"/>
          <w:marBottom w:val="0"/>
          <w:divBdr>
            <w:top w:val="none" w:sz="0" w:space="0" w:color="auto"/>
            <w:left w:val="none" w:sz="0" w:space="0" w:color="auto"/>
            <w:bottom w:val="none" w:sz="0" w:space="0" w:color="auto"/>
            <w:right w:val="none" w:sz="0" w:space="0" w:color="auto"/>
          </w:divBdr>
        </w:div>
      </w:divsChild>
    </w:div>
    <w:div w:id="815535778">
      <w:bodyDiv w:val="1"/>
      <w:marLeft w:val="0"/>
      <w:marRight w:val="0"/>
      <w:marTop w:val="0"/>
      <w:marBottom w:val="0"/>
      <w:divBdr>
        <w:top w:val="none" w:sz="0" w:space="0" w:color="auto"/>
        <w:left w:val="none" w:sz="0" w:space="0" w:color="auto"/>
        <w:bottom w:val="none" w:sz="0" w:space="0" w:color="auto"/>
        <w:right w:val="none" w:sz="0" w:space="0" w:color="auto"/>
      </w:divBdr>
    </w:div>
    <w:div w:id="821896464">
      <w:bodyDiv w:val="1"/>
      <w:marLeft w:val="0"/>
      <w:marRight w:val="0"/>
      <w:marTop w:val="0"/>
      <w:marBottom w:val="0"/>
      <w:divBdr>
        <w:top w:val="none" w:sz="0" w:space="0" w:color="auto"/>
        <w:left w:val="none" w:sz="0" w:space="0" w:color="auto"/>
        <w:bottom w:val="none" w:sz="0" w:space="0" w:color="auto"/>
        <w:right w:val="none" w:sz="0" w:space="0" w:color="auto"/>
      </w:divBdr>
    </w:div>
    <w:div w:id="867641801">
      <w:bodyDiv w:val="1"/>
      <w:marLeft w:val="0"/>
      <w:marRight w:val="0"/>
      <w:marTop w:val="0"/>
      <w:marBottom w:val="0"/>
      <w:divBdr>
        <w:top w:val="none" w:sz="0" w:space="0" w:color="auto"/>
        <w:left w:val="none" w:sz="0" w:space="0" w:color="auto"/>
        <w:bottom w:val="none" w:sz="0" w:space="0" w:color="auto"/>
        <w:right w:val="none" w:sz="0" w:space="0" w:color="auto"/>
      </w:divBdr>
    </w:div>
    <w:div w:id="925846571">
      <w:bodyDiv w:val="1"/>
      <w:marLeft w:val="0"/>
      <w:marRight w:val="0"/>
      <w:marTop w:val="0"/>
      <w:marBottom w:val="0"/>
      <w:divBdr>
        <w:top w:val="none" w:sz="0" w:space="0" w:color="auto"/>
        <w:left w:val="none" w:sz="0" w:space="0" w:color="auto"/>
        <w:bottom w:val="none" w:sz="0" w:space="0" w:color="auto"/>
        <w:right w:val="none" w:sz="0" w:space="0" w:color="auto"/>
      </w:divBdr>
      <w:divsChild>
        <w:div w:id="515193943">
          <w:marLeft w:val="418"/>
          <w:marRight w:val="0"/>
          <w:marTop w:val="0"/>
          <w:marBottom w:val="0"/>
          <w:divBdr>
            <w:top w:val="none" w:sz="0" w:space="0" w:color="auto"/>
            <w:left w:val="none" w:sz="0" w:space="0" w:color="auto"/>
            <w:bottom w:val="none" w:sz="0" w:space="0" w:color="auto"/>
            <w:right w:val="none" w:sz="0" w:space="0" w:color="auto"/>
          </w:divBdr>
        </w:div>
        <w:div w:id="176501542">
          <w:marLeft w:val="418"/>
          <w:marRight w:val="0"/>
          <w:marTop w:val="0"/>
          <w:marBottom w:val="0"/>
          <w:divBdr>
            <w:top w:val="none" w:sz="0" w:space="0" w:color="auto"/>
            <w:left w:val="none" w:sz="0" w:space="0" w:color="auto"/>
            <w:bottom w:val="none" w:sz="0" w:space="0" w:color="auto"/>
            <w:right w:val="none" w:sz="0" w:space="0" w:color="auto"/>
          </w:divBdr>
        </w:div>
        <w:div w:id="320937381">
          <w:marLeft w:val="418"/>
          <w:marRight w:val="0"/>
          <w:marTop w:val="0"/>
          <w:marBottom w:val="0"/>
          <w:divBdr>
            <w:top w:val="none" w:sz="0" w:space="0" w:color="auto"/>
            <w:left w:val="none" w:sz="0" w:space="0" w:color="auto"/>
            <w:bottom w:val="none" w:sz="0" w:space="0" w:color="auto"/>
            <w:right w:val="none" w:sz="0" w:space="0" w:color="auto"/>
          </w:divBdr>
        </w:div>
        <w:div w:id="1226338270">
          <w:marLeft w:val="418"/>
          <w:marRight w:val="0"/>
          <w:marTop w:val="0"/>
          <w:marBottom w:val="0"/>
          <w:divBdr>
            <w:top w:val="none" w:sz="0" w:space="0" w:color="auto"/>
            <w:left w:val="none" w:sz="0" w:space="0" w:color="auto"/>
            <w:bottom w:val="none" w:sz="0" w:space="0" w:color="auto"/>
            <w:right w:val="none" w:sz="0" w:space="0" w:color="auto"/>
          </w:divBdr>
        </w:div>
      </w:divsChild>
    </w:div>
    <w:div w:id="967126875">
      <w:bodyDiv w:val="1"/>
      <w:marLeft w:val="0"/>
      <w:marRight w:val="0"/>
      <w:marTop w:val="0"/>
      <w:marBottom w:val="0"/>
      <w:divBdr>
        <w:top w:val="none" w:sz="0" w:space="0" w:color="auto"/>
        <w:left w:val="none" w:sz="0" w:space="0" w:color="auto"/>
        <w:bottom w:val="none" w:sz="0" w:space="0" w:color="auto"/>
        <w:right w:val="none" w:sz="0" w:space="0" w:color="auto"/>
      </w:divBdr>
      <w:divsChild>
        <w:div w:id="1387922083">
          <w:marLeft w:val="0"/>
          <w:marRight w:val="0"/>
          <w:marTop w:val="0"/>
          <w:marBottom w:val="0"/>
          <w:divBdr>
            <w:top w:val="single" w:sz="2" w:space="0" w:color="E3E3E3"/>
            <w:left w:val="single" w:sz="2" w:space="0" w:color="E3E3E3"/>
            <w:bottom w:val="single" w:sz="2" w:space="0" w:color="E3E3E3"/>
            <w:right w:val="single" w:sz="2" w:space="0" w:color="E3E3E3"/>
          </w:divBdr>
          <w:divsChild>
            <w:div w:id="754129070">
              <w:marLeft w:val="0"/>
              <w:marRight w:val="0"/>
              <w:marTop w:val="0"/>
              <w:marBottom w:val="0"/>
              <w:divBdr>
                <w:top w:val="single" w:sz="2" w:space="0" w:color="E3E3E3"/>
                <w:left w:val="single" w:sz="2" w:space="0" w:color="E3E3E3"/>
                <w:bottom w:val="single" w:sz="2" w:space="0" w:color="E3E3E3"/>
                <w:right w:val="single" w:sz="2" w:space="0" w:color="E3E3E3"/>
              </w:divBdr>
              <w:divsChild>
                <w:div w:id="643774022">
                  <w:marLeft w:val="0"/>
                  <w:marRight w:val="0"/>
                  <w:marTop w:val="0"/>
                  <w:marBottom w:val="0"/>
                  <w:divBdr>
                    <w:top w:val="single" w:sz="2" w:space="2" w:color="E3E3E3"/>
                    <w:left w:val="single" w:sz="2" w:space="0" w:color="E3E3E3"/>
                    <w:bottom w:val="single" w:sz="2" w:space="0" w:color="E3E3E3"/>
                    <w:right w:val="single" w:sz="2" w:space="0" w:color="E3E3E3"/>
                  </w:divBdr>
                  <w:divsChild>
                    <w:div w:id="120266614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54907390">
      <w:bodyDiv w:val="1"/>
      <w:marLeft w:val="0"/>
      <w:marRight w:val="0"/>
      <w:marTop w:val="0"/>
      <w:marBottom w:val="0"/>
      <w:divBdr>
        <w:top w:val="none" w:sz="0" w:space="0" w:color="auto"/>
        <w:left w:val="none" w:sz="0" w:space="0" w:color="auto"/>
        <w:bottom w:val="none" w:sz="0" w:space="0" w:color="auto"/>
        <w:right w:val="none" w:sz="0" w:space="0" w:color="auto"/>
      </w:divBdr>
    </w:div>
    <w:div w:id="1234270843">
      <w:bodyDiv w:val="1"/>
      <w:marLeft w:val="0"/>
      <w:marRight w:val="0"/>
      <w:marTop w:val="0"/>
      <w:marBottom w:val="0"/>
      <w:divBdr>
        <w:top w:val="none" w:sz="0" w:space="0" w:color="auto"/>
        <w:left w:val="none" w:sz="0" w:space="0" w:color="auto"/>
        <w:bottom w:val="none" w:sz="0" w:space="0" w:color="auto"/>
        <w:right w:val="none" w:sz="0" w:space="0" w:color="auto"/>
      </w:divBdr>
    </w:div>
    <w:div w:id="1242330911">
      <w:bodyDiv w:val="1"/>
      <w:marLeft w:val="0"/>
      <w:marRight w:val="0"/>
      <w:marTop w:val="0"/>
      <w:marBottom w:val="0"/>
      <w:divBdr>
        <w:top w:val="none" w:sz="0" w:space="0" w:color="auto"/>
        <w:left w:val="none" w:sz="0" w:space="0" w:color="auto"/>
        <w:bottom w:val="none" w:sz="0" w:space="0" w:color="auto"/>
        <w:right w:val="none" w:sz="0" w:space="0" w:color="auto"/>
      </w:divBdr>
    </w:div>
    <w:div w:id="1348749256">
      <w:bodyDiv w:val="1"/>
      <w:marLeft w:val="0"/>
      <w:marRight w:val="0"/>
      <w:marTop w:val="0"/>
      <w:marBottom w:val="0"/>
      <w:divBdr>
        <w:top w:val="none" w:sz="0" w:space="0" w:color="auto"/>
        <w:left w:val="none" w:sz="0" w:space="0" w:color="auto"/>
        <w:bottom w:val="none" w:sz="0" w:space="0" w:color="auto"/>
        <w:right w:val="none" w:sz="0" w:space="0" w:color="auto"/>
      </w:divBdr>
    </w:div>
    <w:div w:id="1392191515">
      <w:bodyDiv w:val="1"/>
      <w:marLeft w:val="0"/>
      <w:marRight w:val="0"/>
      <w:marTop w:val="0"/>
      <w:marBottom w:val="0"/>
      <w:divBdr>
        <w:top w:val="none" w:sz="0" w:space="0" w:color="auto"/>
        <w:left w:val="none" w:sz="0" w:space="0" w:color="auto"/>
        <w:bottom w:val="none" w:sz="0" w:space="0" w:color="auto"/>
        <w:right w:val="none" w:sz="0" w:space="0" w:color="auto"/>
      </w:divBdr>
      <w:divsChild>
        <w:div w:id="1628504740">
          <w:marLeft w:val="374"/>
          <w:marRight w:val="0"/>
          <w:marTop w:val="141"/>
          <w:marBottom w:val="0"/>
          <w:divBdr>
            <w:top w:val="none" w:sz="0" w:space="0" w:color="auto"/>
            <w:left w:val="none" w:sz="0" w:space="0" w:color="auto"/>
            <w:bottom w:val="none" w:sz="0" w:space="0" w:color="auto"/>
            <w:right w:val="none" w:sz="0" w:space="0" w:color="auto"/>
          </w:divBdr>
        </w:div>
      </w:divsChild>
    </w:div>
    <w:div w:id="1399942001">
      <w:bodyDiv w:val="1"/>
      <w:marLeft w:val="0"/>
      <w:marRight w:val="0"/>
      <w:marTop w:val="0"/>
      <w:marBottom w:val="0"/>
      <w:divBdr>
        <w:top w:val="none" w:sz="0" w:space="0" w:color="auto"/>
        <w:left w:val="none" w:sz="0" w:space="0" w:color="auto"/>
        <w:bottom w:val="none" w:sz="0" w:space="0" w:color="auto"/>
        <w:right w:val="none" w:sz="0" w:space="0" w:color="auto"/>
      </w:divBdr>
    </w:div>
    <w:div w:id="1422068471">
      <w:bodyDiv w:val="1"/>
      <w:marLeft w:val="0"/>
      <w:marRight w:val="0"/>
      <w:marTop w:val="0"/>
      <w:marBottom w:val="0"/>
      <w:divBdr>
        <w:top w:val="none" w:sz="0" w:space="0" w:color="auto"/>
        <w:left w:val="none" w:sz="0" w:space="0" w:color="auto"/>
        <w:bottom w:val="none" w:sz="0" w:space="0" w:color="auto"/>
        <w:right w:val="none" w:sz="0" w:space="0" w:color="auto"/>
      </w:divBdr>
    </w:div>
    <w:div w:id="1431583041">
      <w:bodyDiv w:val="1"/>
      <w:marLeft w:val="0"/>
      <w:marRight w:val="0"/>
      <w:marTop w:val="0"/>
      <w:marBottom w:val="0"/>
      <w:divBdr>
        <w:top w:val="none" w:sz="0" w:space="0" w:color="auto"/>
        <w:left w:val="none" w:sz="0" w:space="0" w:color="auto"/>
        <w:bottom w:val="none" w:sz="0" w:space="0" w:color="auto"/>
        <w:right w:val="none" w:sz="0" w:space="0" w:color="auto"/>
      </w:divBdr>
      <w:divsChild>
        <w:div w:id="1549297710">
          <w:marLeft w:val="0"/>
          <w:marRight w:val="0"/>
          <w:marTop w:val="0"/>
          <w:marBottom w:val="0"/>
          <w:divBdr>
            <w:top w:val="single" w:sz="2" w:space="0" w:color="E3E3E3"/>
            <w:left w:val="single" w:sz="2" w:space="0" w:color="E3E3E3"/>
            <w:bottom w:val="single" w:sz="2" w:space="0" w:color="E3E3E3"/>
            <w:right w:val="single" w:sz="2" w:space="0" w:color="E3E3E3"/>
          </w:divBdr>
          <w:divsChild>
            <w:div w:id="2096053845">
              <w:marLeft w:val="0"/>
              <w:marRight w:val="0"/>
              <w:marTop w:val="100"/>
              <w:marBottom w:val="100"/>
              <w:divBdr>
                <w:top w:val="single" w:sz="2" w:space="0" w:color="E3E3E3"/>
                <w:left w:val="single" w:sz="2" w:space="0" w:color="E3E3E3"/>
                <w:bottom w:val="single" w:sz="2" w:space="0" w:color="E3E3E3"/>
                <w:right w:val="single" w:sz="2" w:space="0" w:color="E3E3E3"/>
              </w:divBdr>
              <w:divsChild>
                <w:div w:id="2144620022">
                  <w:marLeft w:val="0"/>
                  <w:marRight w:val="0"/>
                  <w:marTop w:val="0"/>
                  <w:marBottom w:val="0"/>
                  <w:divBdr>
                    <w:top w:val="single" w:sz="2" w:space="0" w:color="E3E3E3"/>
                    <w:left w:val="single" w:sz="2" w:space="0" w:color="E3E3E3"/>
                    <w:bottom w:val="single" w:sz="2" w:space="0" w:color="E3E3E3"/>
                    <w:right w:val="single" w:sz="2" w:space="0" w:color="E3E3E3"/>
                  </w:divBdr>
                  <w:divsChild>
                    <w:div w:id="270742251">
                      <w:marLeft w:val="0"/>
                      <w:marRight w:val="0"/>
                      <w:marTop w:val="0"/>
                      <w:marBottom w:val="0"/>
                      <w:divBdr>
                        <w:top w:val="single" w:sz="2" w:space="0" w:color="E3E3E3"/>
                        <w:left w:val="single" w:sz="2" w:space="0" w:color="E3E3E3"/>
                        <w:bottom w:val="single" w:sz="2" w:space="0" w:color="E3E3E3"/>
                        <w:right w:val="single" w:sz="2" w:space="0" w:color="E3E3E3"/>
                      </w:divBdr>
                      <w:divsChild>
                        <w:div w:id="1237089653">
                          <w:marLeft w:val="0"/>
                          <w:marRight w:val="0"/>
                          <w:marTop w:val="0"/>
                          <w:marBottom w:val="0"/>
                          <w:divBdr>
                            <w:top w:val="single" w:sz="2" w:space="0" w:color="E3E3E3"/>
                            <w:left w:val="single" w:sz="2" w:space="0" w:color="E3E3E3"/>
                            <w:bottom w:val="single" w:sz="2" w:space="0" w:color="E3E3E3"/>
                            <w:right w:val="single" w:sz="2" w:space="0" w:color="E3E3E3"/>
                          </w:divBdr>
                          <w:divsChild>
                            <w:div w:id="1707833478">
                              <w:marLeft w:val="0"/>
                              <w:marRight w:val="0"/>
                              <w:marTop w:val="0"/>
                              <w:marBottom w:val="0"/>
                              <w:divBdr>
                                <w:top w:val="single" w:sz="2" w:space="0" w:color="E3E3E3"/>
                                <w:left w:val="single" w:sz="2" w:space="0" w:color="E3E3E3"/>
                                <w:bottom w:val="single" w:sz="2" w:space="0" w:color="E3E3E3"/>
                                <w:right w:val="single" w:sz="2" w:space="0" w:color="E3E3E3"/>
                              </w:divBdr>
                              <w:divsChild>
                                <w:div w:id="1452439730">
                                  <w:marLeft w:val="0"/>
                                  <w:marRight w:val="0"/>
                                  <w:marTop w:val="0"/>
                                  <w:marBottom w:val="0"/>
                                  <w:divBdr>
                                    <w:top w:val="single" w:sz="2" w:space="0" w:color="E3E3E3"/>
                                    <w:left w:val="single" w:sz="2" w:space="0" w:color="E3E3E3"/>
                                    <w:bottom w:val="single" w:sz="2" w:space="0" w:color="E3E3E3"/>
                                    <w:right w:val="single" w:sz="2" w:space="0" w:color="E3E3E3"/>
                                  </w:divBdr>
                                  <w:divsChild>
                                    <w:div w:id="126834258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678147372">
      <w:bodyDiv w:val="1"/>
      <w:marLeft w:val="0"/>
      <w:marRight w:val="0"/>
      <w:marTop w:val="0"/>
      <w:marBottom w:val="0"/>
      <w:divBdr>
        <w:top w:val="none" w:sz="0" w:space="0" w:color="auto"/>
        <w:left w:val="none" w:sz="0" w:space="0" w:color="auto"/>
        <w:bottom w:val="none" w:sz="0" w:space="0" w:color="auto"/>
        <w:right w:val="none" w:sz="0" w:space="0" w:color="auto"/>
      </w:divBdr>
    </w:div>
    <w:div w:id="1698772603">
      <w:bodyDiv w:val="1"/>
      <w:marLeft w:val="0"/>
      <w:marRight w:val="0"/>
      <w:marTop w:val="0"/>
      <w:marBottom w:val="0"/>
      <w:divBdr>
        <w:top w:val="none" w:sz="0" w:space="0" w:color="auto"/>
        <w:left w:val="none" w:sz="0" w:space="0" w:color="auto"/>
        <w:bottom w:val="none" w:sz="0" w:space="0" w:color="auto"/>
        <w:right w:val="none" w:sz="0" w:space="0" w:color="auto"/>
      </w:divBdr>
    </w:div>
    <w:div w:id="1767925091">
      <w:bodyDiv w:val="1"/>
      <w:marLeft w:val="0"/>
      <w:marRight w:val="0"/>
      <w:marTop w:val="0"/>
      <w:marBottom w:val="0"/>
      <w:divBdr>
        <w:top w:val="none" w:sz="0" w:space="0" w:color="auto"/>
        <w:left w:val="none" w:sz="0" w:space="0" w:color="auto"/>
        <w:bottom w:val="none" w:sz="0" w:space="0" w:color="auto"/>
        <w:right w:val="none" w:sz="0" w:space="0" w:color="auto"/>
      </w:divBdr>
    </w:div>
    <w:div w:id="1785417093">
      <w:bodyDiv w:val="1"/>
      <w:marLeft w:val="0"/>
      <w:marRight w:val="0"/>
      <w:marTop w:val="0"/>
      <w:marBottom w:val="0"/>
      <w:divBdr>
        <w:top w:val="none" w:sz="0" w:space="0" w:color="auto"/>
        <w:left w:val="none" w:sz="0" w:space="0" w:color="auto"/>
        <w:bottom w:val="none" w:sz="0" w:space="0" w:color="auto"/>
        <w:right w:val="none" w:sz="0" w:space="0" w:color="auto"/>
      </w:divBdr>
    </w:div>
    <w:div w:id="1791430536">
      <w:bodyDiv w:val="1"/>
      <w:marLeft w:val="0"/>
      <w:marRight w:val="0"/>
      <w:marTop w:val="0"/>
      <w:marBottom w:val="0"/>
      <w:divBdr>
        <w:top w:val="none" w:sz="0" w:space="0" w:color="auto"/>
        <w:left w:val="none" w:sz="0" w:space="0" w:color="auto"/>
        <w:bottom w:val="none" w:sz="0" w:space="0" w:color="auto"/>
        <w:right w:val="none" w:sz="0" w:space="0" w:color="auto"/>
      </w:divBdr>
    </w:div>
    <w:div w:id="1888832277">
      <w:bodyDiv w:val="1"/>
      <w:marLeft w:val="0"/>
      <w:marRight w:val="0"/>
      <w:marTop w:val="0"/>
      <w:marBottom w:val="0"/>
      <w:divBdr>
        <w:top w:val="none" w:sz="0" w:space="0" w:color="auto"/>
        <w:left w:val="none" w:sz="0" w:space="0" w:color="auto"/>
        <w:bottom w:val="none" w:sz="0" w:space="0" w:color="auto"/>
        <w:right w:val="none" w:sz="0" w:space="0" w:color="auto"/>
      </w:divBdr>
    </w:div>
    <w:div w:id="1903906780">
      <w:bodyDiv w:val="1"/>
      <w:marLeft w:val="0"/>
      <w:marRight w:val="0"/>
      <w:marTop w:val="0"/>
      <w:marBottom w:val="0"/>
      <w:divBdr>
        <w:top w:val="none" w:sz="0" w:space="0" w:color="auto"/>
        <w:left w:val="none" w:sz="0" w:space="0" w:color="auto"/>
        <w:bottom w:val="none" w:sz="0" w:space="0" w:color="auto"/>
        <w:right w:val="none" w:sz="0" w:space="0" w:color="auto"/>
      </w:divBdr>
    </w:div>
    <w:div w:id="1931158747">
      <w:bodyDiv w:val="1"/>
      <w:marLeft w:val="0"/>
      <w:marRight w:val="0"/>
      <w:marTop w:val="0"/>
      <w:marBottom w:val="0"/>
      <w:divBdr>
        <w:top w:val="none" w:sz="0" w:space="0" w:color="auto"/>
        <w:left w:val="none" w:sz="0" w:space="0" w:color="auto"/>
        <w:bottom w:val="none" w:sz="0" w:space="0" w:color="auto"/>
        <w:right w:val="none" w:sz="0" w:space="0" w:color="auto"/>
      </w:divBdr>
    </w:div>
    <w:div w:id="1996950513">
      <w:bodyDiv w:val="1"/>
      <w:marLeft w:val="0"/>
      <w:marRight w:val="0"/>
      <w:marTop w:val="0"/>
      <w:marBottom w:val="0"/>
      <w:divBdr>
        <w:top w:val="none" w:sz="0" w:space="0" w:color="auto"/>
        <w:left w:val="none" w:sz="0" w:space="0" w:color="auto"/>
        <w:bottom w:val="none" w:sz="0" w:space="0" w:color="auto"/>
        <w:right w:val="none" w:sz="0" w:space="0" w:color="auto"/>
      </w:divBdr>
    </w:div>
    <w:div w:id="2025087019">
      <w:bodyDiv w:val="1"/>
      <w:marLeft w:val="0"/>
      <w:marRight w:val="0"/>
      <w:marTop w:val="0"/>
      <w:marBottom w:val="0"/>
      <w:divBdr>
        <w:top w:val="none" w:sz="0" w:space="0" w:color="auto"/>
        <w:left w:val="none" w:sz="0" w:space="0" w:color="auto"/>
        <w:bottom w:val="none" w:sz="0" w:space="0" w:color="auto"/>
        <w:right w:val="none" w:sz="0" w:space="0" w:color="auto"/>
      </w:divBdr>
      <w:divsChild>
        <w:div w:id="671421268">
          <w:marLeft w:val="274"/>
          <w:marRight w:val="0"/>
          <w:marTop w:val="141"/>
          <w:marBottom w:val="0"/>
          <w:divBdr>
            <w:top w:val="none" w:sz="0" w:space="0" w:color="auto"/>
            <w:left w:val="none" w:sz="0" w:space="0" w:color="auto"/>
            <w:bottom w:val="none" w:sz="0" w:space="0" w:color="auto"/>
            <w:right w:val="none" w:sz="0" w:space="0" w:color="auto"/>
          </w:divBdr>
        </w:div>
      </w:divsChild>
    </w:div>
    <w:div w:id="2035766668">
      <w:bodyDiv w:val="1"/>
      <w:marLeft w:val="0"/>
      <w:marRight w:val="0"/>
      <w:marTop w:val="0"/>
      <w:marBottom w:val="0"/>
      <w:divBdr>
        <w:top w:val="none" w:sz="0" w:space="0" w:color="auto"/>
        <w:left w:val="none" w:sz="0" w:space="0" w:color="auto"/>
        <w:bottom w:val="none" w:sz="0" w:space="0" w:color="auto"/>
        <w:right w:val="none" w:sz="0" w:space="0" w:color="auto"/>
      </w:divBdr>
    </w:div>
    <w:div w:id="210457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mailto:robert.stankiewicz@gpw.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gpw.pl"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9263484a-4811-448b-b935-4ccfcdbbdeea" origin="userSelected">
  <element uid="84c739ec-87d8-488b-9946-0398a66daf81" value=""/>
  <element uid="d9569de3-fae5-4e2d-a5c1-e0a5a3c84173" value=""/>
</sisl>
</file>

<file path=customXml/itemProps1.xml><?xml version="1.0" encoding="utf-8"?>
<ds:datastoreItem xmlns:ds="http://schemas.openxmlformats.org/officeDocument/2006/customXml" ds:itemID="{5ECD2DA9-3DB3-450F-BED7-7F926F8C0168}">
  <ds:schemaRefs>
    <ds:schemaRef ds:uri="http://schemas.openxmlformats.org/officeDocument/2006/bibliography"/>
  </ds:schemaRefs>
</ds:datastoreItem>
</file>

<file path=customXml/itemProps2.xml><?xml version="1.0" encoding="utf-8"?>
<ds:datastoreItem xmlns:ds="http://schemas.openxmlformats.org/officeDocument/2006/customXml" ds:itemID="{35E0CFCE-A013-4833-A721-59CFCB1F2694}">
  <ds:schemaRefs>
    <ds:schemaRef ds:uri="http://www.w3.org/2001/XMLSchema"/>
    <ds:schemaRef ds:uri="http://www.boldonjames.com/2008/01/sie/internal/label"/>
  </ds:schemaRefs>
</ds:datastoreItem>
</file>

<file path=docMetadata/LabelInfo.xml><?xml version="1.0" encoding="utf-8"?>
<clbl:labelList xmlns:clbl="http://schemas.microsoft.com/office/2020/mipLabelMetadata">
  <clbl:label id="{63828489-b6e0-442e-bd0b-e115b427d056}" enabled="1" method="Privileged" siteId="{a340375a-1ea0-4cdd-8a49-9cd1039ff159}" contentBits="0" removed="0"/>
</clbl:labelList>
</file>

<file path=docProps/app.xml><?xml version="1.0" encoding="utf-8"?>
<Properties xmlns="http://schemas.openxmlformats.org/officeDocument/2006/extended-properties" xmlns:vt="http://schemas.openxmlformats.org/officeDocument/2006/docPropsVTypes">
  <Template>Normal.dotm</Template>
  <TotalTime>37</TotalTime>
  <Pages>4</Pages>
  <Words>1830</Words>
  <Characters>10161</Characters>
  <Application>Microsoft Office Word</Application>
  <DocSecurity>0</DocSecurity>
  <Lines>211</Lines>
  <Paragraphs>118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Stankiewicz Robert</dc:creator>
  <cp:keywords>#Kategoria: [Publiczne/Nie zawiera danych osobowych]# </cp:keywords>
  <dc:description/>
  <cp:lastModifiedBy>Marcin Lakomski</cp:lastModifiedBy>
  <cp:revision>56</cp:revision>
  <cp:lastPrinted>2025-03-25T17:09:00Z</cp:lastPrinted>
  <dcterms:created xsi:type="dcterms:W3CDTF">2026-03-23T18:25:00Z</dcterms:created>
  <dcterms:modified xsi:type="dcterms:W3CDTF">2026-03-23T19:29:00Z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ac6424bb-ab98-4529-a751-13d824fc1752</vt:lpwstr>
  </property>
  <property fmtid="{D5CDD505-2E9C-101B-9397-08002B2CF9AE}" pid="3" name="bjSaver">
    <vt:lpwstr>EP3QaiaTrDrOJqg3Tz6pBwL+Dt8eJ+oK</vt:lpwstr>
  </property>
  <property fmtid="{D5CDD505-2E9C-101B-9397-08002B2CF9AE}" pid="4" name="bjDocumentLabelXML">
    <vt:lpwstr>&lt;?xml version="1.0" encoding="us-ascii"?&gt;&lt;sisl xmlns:xsd="http://www.w3.org/2001/XMLSchema" xmlns:xsi="http://www.w3.org/2001/XMLSchema-instance" sislVersion="0" policy="9263484a-4811-448b-b935-4ccfcdbbdeea" origin="userSelected" xmlns="http://www.boldonj</vt:lpwstr>
  </property>
  <property fmtid="{D5CDD505-2E9C-101B-9397-08002B2CF9AE}" pid="5" name="bjDocumentLabelXML-0">
    <vt:lpwstr>ames.com/2008/01/sie/internal/label"&gt;&lt;element uid="84c739ec-87d8-488b-9946-0398a66daf81" value="" /&gt;&lt;element uid="d9569de3-fae5-4e2d-a5c1-e0a5a3c84173" value="" /&gt;&lt;/sisl&gt;</vt:lpwstr>
  </property>
  <property fmtid="{D5CDD505-2E9C-101B-9397-08002B2CF9AE}" pid="6" name="bjDocumentSecurityLabel">
    <vt:lpwstr>Kategoria: Publiczne/Nie zawiera danych osobowych</vt:lpwstr>
  </property>
</Properties>
</file>